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328" w:rsidRPr="002C3328" w:rsidRDefault="002C3328" w:rsidP="002C3328">
      <w:pPr>
        <w:spacing w:after="0" w:line="240" w:lineRule="auto"/>
        <w:ind w:left="5670"/>
        <w:rPr>
          <w:rFonts w:ascii="Times New Roman" w:hAnsi="Times New Roman" w:cs="Times New Roman"/>
          <w:sz w:val="28"/>
        </w:rPr>
      </w:pPr>
      <w:r w:rsidRPr="002C3328">
        <w:rPr>
          <w:rFonts w:ascii="Times New Roman" w:hAnsi="Times New Roman" w:cs="Times New Roman"/>
          <w:sz w:val="28"/>
        </w:rPr>
        <w:t>Приложение к письму</w:t>
      </w:r>
    </w:p>
    <w:p w:rsidR="000E1578" w:rsidRPr="002C3328" w:rsidRDefault="00FB59EB" w:rsidP="002C3328">
      <w:pPr>
        <w:spacing w:after="0" w:line="240" w:lineRule="auto"/>
        <w:ind w:left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30.12.2020 </w:t>
      </w:r>
      <w:r w:rsidR="002C3328" w:rsidRPr="002C3328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ГП/9979-Ш</w:t>
      </w:r>
      <w:bookmarkStart w:id="0" w:name="_GoBack"/>
      <w:bookmarkEnd w:id="0"/>
      <w:r w:rsidR="00A67FC4">
        <w:rPr>
          <w:rFonts w:ascii="Times New Roman" w:hAnsi="Times New Roman" w:cs="Times New Roman"/>
          <w:sz w:val="28"/>
        </w:rPr>
        <w:t xml:space="preserve">     </w:t>
      </w:r>
    </w:p>
    <w:p w:rsidR="002C3328" w:rsidRPr="002C3328" w:rsidRDefault="002C3328" w:rsidP="002C3328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</w:p>
    <w:p w:rsidR="002C3328" w:rsidRPr="00B82531" w:rsidRDefault="002C3328" w:rsidP="002C33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B441B">
        <w:rPr>
          <w:rFonts w:ascii="Times New Roman" w:eastAsia="Calibri" w:hAnsi="Times New Roman" w:cs="Times New Roman"/>
          <w:b/>
          <w:sz w:val="24"/>
          <w:szCs w:val="28"/>
        </w:rPr>
        <w:t>10.2.2.</w:t>
      </w:r>
      <w:r w:rsidRPr="000B441B">
        <w:rPr>
          <w:rFonts w:ascii="Times New Roman" w:eastAsia="Calibri" w:hAnsi="Times New Roman" w:cs="Times New Roman"/>
          <w:sz w:val="24"/>
          <w:szCs w:val="28"/>
        </w:rPr>
        <w:t xml:space="preserve"> Коэффициенты, фиксированные тарифные ставки на перевозки контейнеров </w:t>
      </w:r>
      <w:r w:rsidR="00B82531">
        <w:rPr>
          <w:rFonts w:ascii="Times New Roman" w:eastAsia="Calibri" w:hAnsi="Times New Roman" w:cs="Times New Roman"/>
          <w:sz w:val="24"/>
          <w:szCs w:val="28"/>
        </w:rPr>
        <w:t>по направлениям (маршрутам)</w:t>
      </w:r>
    </w:p>
    <w:p w:rsidR="00850BE3" w:rsidRDefault="00850BE3" w:rsidP="00850BE3">
      <w:pPr>
        <w:spacing w:after="0" w:line="240" w:lineRule="auto"/>
        <w:ind w:left="793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1AD4" w:rsidRPr="00850BE3" w:rsidRDefault="00850BE3" w:rsidP="00850BE3">
      <w:pPr>
        <w:spacing w:after="0" w:line="240" w:lineRule="auto"/>
        <w:ind w:left="793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0BE3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W w:w="98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32"/>
        <w:gridCol w:w="1389"/>
        <w:gridCol w:w="1198"/>
        <w:gridCol w:w="78"/>
        <w:gridCol w:w="1304"/>
      </w:tblGrid>
      <w:tr w:rsidR="002C3328" w:rsidRPr="002C3328" w:rsidTr="00BF467F">
        <w:tc>
          <w:tcPr>
            <w:tcW w:w="709" w:type="dxa"/>
            <w:vMerge w:val="restart"/>
            <w:shd w:val="clear" w:color="auto" w:fill="auto"/>
          </w:tcPr>
          <w:p w:rsidR="002C3328" w:rsidRPr="002C3328" w:rsidRDefault="002C3328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328" w:rsidRPr="002C3328" w:rsidRDefault="002C3328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328" w:rsidRPr="002C3328" w:rsidRDefault="002C3328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gridSpan w:val="2"/>
            <w:vMerge w:val="restart"/>
            <w:shd w:val="clear" w:color="auto" w:fill="auto"/>
          </w:tcPr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 (направление) перевозки, условие предоставления фиксированной тарифной ставки, коэффициента</w:t>
            </w:r>
          </w:p>
        </w:tc>
        <w:tc>
          <w:tcPr>
            <w:tcW w:w="2580" w:type="dxa"/>
            <w:gridSpan w:val="3"/>
            <w:shd w:val="clear" w:color="auto" w:fill="auto"/>
          </w:tcPr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Фиксированн</w:t>
            </w:r>
            <w:r w:rsidR="00B825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тарифн</w:t>
            </w:r>
            <w:r w:rsidR="00B825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ставк</w:t>
            </w:r>
            <w:r w:rsidR="00B825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(долл. США/конт), коэффициент</w:t>
            </w:r>
          </w:p>
        </w:tc>
      </w:tr>
      <w:tr w:rsidR="002C3328" w:rsidRPr="002C3328" w:rsidTr="00BF467F">
        <w:tc>
          <w:tcPr>
            <w:tcW w:w="709" w:type="dxa"/>
            <w:vMerge/>
            <w:shd w:val="clear" w:color="auto" w:fill="auto"/>
          </w:tcPr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521" w:type="dxa"/>
            <w:gridSpan w:val="2"/>
            <w:vMerge/>
            <w:shd w:val="clear" w:color="auto" w:fill="auto"/>
          </w:tcPr>
          <w:p w:rsidR="002C3328" w:rsidRPr="002C3328" w:rsidRDefault="002C3328" w:rsidP="00A250AB">
            <w:pPr>
              <w:spacing w:after="0" w:line="240" w:lineRule="exact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3328" w:rsidRPr="002C3328" w:rsidRDefault="00FD5050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C3328" w:rsidRPr="002C3328">
              <w:rPr>
                <w:rFonts w:ascii="Times New Roman" w:hAnsi="Times New Roman" w:cs="Times New Roman"/>
                <w:sz w:val="24"/>
                <w:szCs w:val="24"/>
              </w:rPr>
              <w:t>онтейнер длиной</w:t>
            </w:r>
          </w:p>
          <w:p w:rsidR="002C3328" w:rsidRPr="002C3328" w:rsidRDefault="002C3328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20 футов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C3328" w:rsidRPr="002C3328" w:rsidRDefault="00FD5050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C3328" w:rsidRPr="002C3328">
              <w:rPr>
                <w:rFonts w:ascii="Times New Roman" w:hAnsi="Times New Roman" w:cs="Times New Roman"/>
                <w:sz w:val="24"/>
                <w:szCs w:val="24"/>
              </w:rPr>
              <w:t>онтейнер длиной</w:t>
            </w:r>
          </w:p>
          <w:p w:rsidR="002C3328" w:rsidRPr="002C3328" w:rsidRDefault="002C3328" w:rsidP="00A250AB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40 футов, свыше 40 футов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2C3328" w:rsidRPr="002C3328" w:rsidRDefault="002C3328" w:rsidP="00832C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 xml:space="preserve">отправителя, получателя на приватном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вагоне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 xml:space="preserve">(не принадлежащем перевозчику)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в составе контейнерного поезда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Брест-Центральный (эксп.)/ </w:t>
            </w:r>
          </w:p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Брест-Северный (эксп.) – Осиновка (эксп.) – Брест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(эксп.)/ </w:t>
            </w:r>
          </w:p>
          <w:p w:rsidR="002C3328" w:rsidRPr="00BF467F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Северный (эксп.) (кроме перевозок, указанных в пунктах 1.2, 1.3) 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BF467F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467F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A250AB" w:rsidRP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42" w:right="-8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307* 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Брест-Центральный (эксп.)/</w:t>
            </w:r>
          </w:p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Северный</w:t>
            </w:r>
            <w:proofErr w:type="gramEnd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(эксп.) – Осиновка (эксп.)/ Закопытье (эксп.) – Брест-Центральный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(эксп.)/ </w:t>
            </w:r>
            <w:proofErr w:type="gramStart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Брест-Северный</w:t>
            </w:r>
            <w:proofErr w:type="gramEnd"/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(перевозки через погранпереходы Китай/Россия; Монголия/Россия; российские порты Дальнего Востока)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BF467F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467F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 w:rsidRP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0,72 </w:t>
            </w:r>
          </w:p>
        </w:tc>
      </w:tr>
      <w:tr w:rsidR="002C3328" w:rsidRPr="002C3328" w:rsidTr="00BF467F">
        <w:trPr>
          <w:trHeight w:val="380"/>
        </w:trPr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2C3328" w:rsidRPr="002C3328" w:rsidRDefault="002C3328" w:rsidP="00832C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в/из Китай через погранпереходы Китай/Казахстан 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Достык (эксп.), Алтынколь (эксп.)</w:t>
            </w:r>
          </w:p>
        </w:tc>
      </w:tr>
      <w:tr w:rsidR="002C3328" w:rsidRPr="002C3328" w:rsidTr="00BF467F">
        <w:trPr>
          <w:trHeight w:val="242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Брест-Центральный (эксп.)/</w:t>
            </w:r>
          </w:p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Брест-Северный (эксп.) – Осиновка (эксп.) – Брест-Центральный (эксп.)/ </w:t>
            </w:r>
          </w:p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Брест-Северный (эксп.)</w:t>
            </w:r>
          </w:p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850BE3" w:rsidRDefault="00850BE3" w:rsidP="008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01.01.2021 по 31.01.2021:</w:t>
            </w:r>
          </w:p>
          <w:p w:rsidR="00850BE3" w:rsidRDefault="002C3328" w:rsidP="008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независимо от объема перевозки;</w:t>
            </w:r>
          </w:p>
          <w:p w:rsidR="00850BE3" w:rsidRDefault="002C3328" w:rsidP="008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с 01.02.2021 по 31.12.2021:</w:t>
            </w:r>
          </w:p>
          <w:p w:rsidR="002C3328" w:rsidRPr="002C3328" w:rsidRDefault="002C3328" w:rsidP="008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при перевозке в предыдущем месяце суммарного объема по данным маршрутам 20 тыс. и более контейнеров (груженых и порожних) в ДФЭ**</w:t>
            </w:r>
          </w:p>
        </w:tc>
      </w:tr>
      <w:tr w:rsidR="002C3328" w:rsidRPr="002C3328" w:rsidTr="00BF467F">
        <w:trPr>
          <w:trHeight w:val="359"/>
        </w:trPr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143" w:right="-17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143" w:righ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2C3328" w:rsidRPr="002C3328" w:rsidTr="00BF467F">
        <w:trPr>
          <w:trHeight w:val="381"/>
        </w:trPr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righ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143" w:righ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183 </w:t>
            </w:r>
          </w:p>
        </w:tc>
      </w:tr>
      <w:tr w:rsidR="002C3328" w:rsidRPr="002C3328" w:rsidTr="00BF467F">
        <w:trPr>
          <w:trHeight w:val="1634"/>
        </w:trPr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с 01.02.2021 по 31.12.2021: при перевозке в предыдущем месяце суммарного объема по данным маршрутам менее 20 тыс. контейнеров (груженых и порожних) в ДФЭ</w:t>
            </w:r>
          </w:p>
        </w:tc>
      </w:tr>
      <w:tr w:rsidR="002C3328" w:rsidRPr="002C3328" w:rsidTr="00BF467F">
        <w:trPr>
          <w:trHeight w:val="477"/>
        </w:trPr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0,72 </w:t>
            </w:r>
          </w:p>
        </w:tc>
      </w:tr>
      <w:tr w:rsidR="002C3328" w:rsidRPr="002C3328" w:rsidTr="00BF467F">
        <w:trPr>
          <w:trHeight w:val="46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30"/>
              </w:rPr>
              <w:lastRenderedPageBreak/>
              <w:t>1.3.2.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Брузги (эксп.)/Свислочь (эксп.) – </w:t>
            </w:r>
          </w:p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Осиновка (эксп.) – Брузги (эксп.)/</w:t>
            </w:r>
          </w:p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Свислочь 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143" w:right="-17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183" w:right="-8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2C3328" w:rsidRPr="002C3328" w:rsidTr="00BF467F"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143" w:right="-167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285" w:right="-167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2C3328" w:rsidRPr="002C3328" w:rsidTr="00BF467F">
        <w:trPr>
          <w:trHeight w:val="28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Горынь (эксп.) – Осиновка (эксп.) –</w:t>
            </w:r>
          </w:p>
          <w:p w:rsidR="002C3328" w:rsidRPr="002C3328" w:rsidRDefault="002C3328" w:rsidP="002C3328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Горынь 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14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236" w:right="-8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2C3328" w:rsidRPr="002C3328" w:rsidTr="00BF467F">
        <w:trPr>
          <w:trHeight w:val="416"/>
        </w:trPr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221" w:right="-1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285" w:right="-1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2C3328" w:rsidRPr="002C3328" w:rsidTr="00BF467F">
        <w:tc>
          <w:tcPr>
            <w:tcW w:w="709" w:type="dxa"/>
            <w:vMerge w:val="restart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Осиновка (эксп.) – Свислочь (эксп.) – Осиновка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(перевозки из/в России)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850BE3">
            <w:pPr>
              <w:spacing w:after="0" w:line="240" w:lineRule="auto"/>
              <w:ind w:left="-143" w:right="-17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3328" w:rsidRPr="002C3328" w:rsidTr="00BF467F">
        <w:tc>
          <w:tcPr>
            <w:tcW w:w="709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left="-143" w:right="-1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Гудогай (эксп.) – Осиновка (эксп.)/ Закопытье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– Гудогай 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0,81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Осиновка (эксп.)/Езерище (эксп.) – Свислочь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(перевозка проката плоского из легированной стали ГНГ 7225)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0,72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2C3328" w:rsidRPr="002C3328" w:rsidRDefault="002C3328" w:rsidP="00E5625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>отправителя, получателя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 xml:space="preserve">приватном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вагоне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>(не принадлежащем перевозчику)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(независимо от количества единовременно отправленных контейнеров)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Гудогай (эксп.) – Осиновка (эксп.)/ Закопытье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– Гудогай (эксп.); Свислочь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– Осиновка (эксп.)/ Езерище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0,9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2C3328" w:rsidRPr="002C3328" w:rsidRDefault="002C3328" w:rsidP="00E5625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контейнер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>отправителя, получателя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 xml:space="preserve">приватном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вагоне </w:t>
            </w:r>
            <w:r w:rsidR="00E56252">
              <w:rPr>
                <w:rFonts w:ascii="Times New Roman" w:hAnsi="Times New Roman" w:cs="Times New Roman"/>
                <w:sz w:val="24"/>
                <w:szCs w:val="24"/>
              </w:rPr>
              <w:t>(не принадлежащем перевозчику)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(независимо от количества единовременно отправленных контейнеров)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BF46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Гудогай (эксп.) – Осиновка (эксп.)/ Закопытье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(эксп.) – Гудогай (эксп</w:t>
            </w:r>
            <w:r w:rsidR="005030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0,9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2C3328" w:rsidRPr="002C3328" w:rsidRDefault="002C3328" w:rsidP="00EA343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Контейнер-цистерна (танк-контейнер) отправителя, получателя на </w:t>
            </w:r>
            <w:r w:rsidR="00EA3432">
              <w:rPr>
                <w:rFonts w:ascii="Times New Roman" w:hAnsi="Times New Roman" w:cs="Times New Roman"/>
                <w:sz w:val="24"/>
                <w:szCs w:val="24"/>
              </w:rPr>
              <w:t xml:space="preserve">приватном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вагоне </w:t>
            </w:r>
            <w:r w:rsidR="00EA3432">
              <w:rPr>
                <w:rFonts w:ascii="Times New Roman" w:hAnsi="Times New Roman" w:cs="Times New Roman"/>
                <w:sz w:val="24"/>
                <w:szCs w:val="24"/>
              </w:rPr>
              <w:t>(не принадлежащем перевозчику)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(независимо от количества единовременно отправленных контейнеров)</w:t>
            </w:r>
          </w:p>
        </w:tc>
      </w:tr>
      <w:tr w:rsidR="002C3328" w:rsidRPr="002C3328" w:rsidTr="00BF467F">
        <w:trPr>
          <w:trHeight w:val="323"/>
        </w:trPr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Желтый фосфор (ГНГ 28047) </w:t>
            </w:r>
          </w:p>
        </w:tc>
        <w:tc>
          <w:tcPr>
            <w:tcW w:w="2580" w:type="dxa"/>
            <w:gridSpan w:val="3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0,8</w:t>
            </w:r>
          </w:p>
        </w:tc>
      </w:tr>
      <w:tr w:rsidR="002C3328" w:rsidRPr="002C3328" w:rsidTr="00BF467F">
        <w:trPr>
          <w:trHeight w:val="399"/>
        </w:trPr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Бензол (ГНГ 27071)</w:t>
            </w: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коэффициент 0,95</w:t>
            </w:r>
          </w:p>
        </w:tc>
      </w:tr>
      <w:tr w:rsidR="002C3328" w:rsidRPr="002C3328" w:rsidTr="00BF467F">
        <w:tc>
          <w:tcPr>
            <w:tcW w:w="70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Универсальный контейнер длиной 20 футов с максимальной (трафаретной) массой брутто 30 и более тонн и с фактической массой брутто более 24 тонн (перевозки из Ирана)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2C3328" w:rsidRPr="002C3328" w:rsidRDefault="00BF467F" w:rsidP="00BF467F">
            <w:pPr>
              <w:spacing w:after="0" w:line="240" w:lineRule="auto"/>
              <w:ind w:left="-108" w:right="-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C3328" w:rsidRPr="002C3328">
              <w:rPr>
                <w:rFonts w:ascii="Times New Roman" w:hAnsi="Times New Roman" w:cs="Times New Roman"/>
                <w:sz w:val="24"/>
                <w:szCs w:val="24"/>
              </w:rPr>
              <w:t>оэффи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3328" w:rsidRPr="002C3328">
              <w:rPr>
                <w:rFonts w:ascii="Times New Roman" w:hAnsi="Times New Roman" w:cs="Times New Roman"/>
                <w:sz w:val="24"/>
                <w:szCs w:val="24"/>
              </w:rPr>
              <w:t>циент 0,83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2307" w:rsidRPr="002C3328" w:rsidTr="00BF467F">
        <w:tc>
          <w:tcPr>
            <w:tcW w:w="709" w:type="dxa"/>
            <w:shd w:val="clear" w:color="auto" w:fill="auto"/>
            <w:vAlign w:val="center"/>
          </w:tcPr>
          <w:p w:rsidR="00992307" w:rsidRPr="002C3328" w:rsidRDefault="00992307" w:rsidP="002C3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01" w:type="dxa"/>
            <w:gridSpan w:val="5"/>
            <w:shd w:val="clear" w:color="auto" w:fill="auto"/>
            <w:vAlign w:val="center"/>
          </w:tcPr>
          <w:p w:rsidR="00992307" w:rsidRPr="002C3328" w:rsidRDefault="00992307" w:rsidP="00FD5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отправителя, получателя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приватном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вагоне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принадлежащем перевозчику)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контейнерного поезда с перегрузкой из вагона колеи 1520 мм на вагон колеи 1435 мм на путях необщего пользования, примыкающих к ст.</w:t>
            </w:r>
            <w:r w:rsidR="00FD5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Лыщицы, по договору с РУП «Брестское отделение Бел</w:t>
            </w:r>
            <w:proofErr w:type="gramStart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д.»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</w:tr>
      <w:tr w:rsidR="00992307" w:rsidRPr="002C3328" w:rsidTr="00BF467F">
        <w:tc>
          <w:tcPr>
            <w:tcW w:w="709" w:type="dxa"/>
            <w:vMerge w:val="restart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Осиновка (эксп.) – Брест-Северный 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ind w:left="-108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992307" w:rsidRPr="002C3328" w:rsidTr="00BF467F">
        <w:tc>
          <w:tcPr>
            <w:tcW w:w="709" w:type="dxa"/>
            <w:vMerge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ind w:left="-108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992307" w:rsidRPr="002C3328" w:rsidTr="00BF467F">
        <w:tc>
          <w:tcPr>
            <w:tcW w:w="709" w:type="dxa"/>
            <w:vMerge w:val="restart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Брест-Северный (эксп.) – Осиновка (эксп.)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еный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ind w:left="-108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</w:tr>
      <w:tr w:rsidR="00992307" w:rsidRPr="002C3328" w:rsidTr="00BF467F">
        <w:tc>
          <w:tcPr>
            <w:tcW w:w="709" w:type="dxa"/>
            <w:vMerge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порож</w:t>
            </w:r>
            <w:r w:rsidR="00BF467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ind w:left="-108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992307" w:rsidRPr="002C3328" w:rsidRDefault="00992307" w:rsidP="0099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</w:tbl>
    <w:p w:rsidR="002C3328" w:rsidRPr="002C3328" w:rsidRDefault="002C3328" w:rsidP="002C332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3328">
        <w:rPr>
          <w:rFonts w:ascii="Times New Roman" w:hAnsi="Times New Roman" w:cs="Times New Roman"/>
          <w:iCs/>
          <w:sz w:val="24"/>
          <w:szCs w:val="24"/>
        </w:rPr>
        <w:t>* Фиксированная тарифная ставка включает в себя сбор за формирование контейнерного поезда.</w:t>
      </w:r>
    </w:p>
    <w:p w:rsidR="002C3328" w:rsidRPr="002C3328" w:rsidRDefault="002C3328" w:rsidP="002C332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3328">
        <w:rPr>
          <w:rFonts w:ascii="Times New Roman" w:hAnsi="Times New Roman" w:cs="Times New Roman"/>
          <w:iCs/>
          <w:sz w:val="24"/>
          <w:szCs w:val="24"/>
        </w:rPr>
        <w:t>**</w:t>
      </w:r>
      <w:r w:rsidR="00850BE3">
        <w:rPr>
          <w:rFonts w:ascii="Times New Roman" w:hAnsi="Times New Roman" w:cs="Times New Roman"/>
          <w:iCs/>
          <w:sz w:val="24"/>
          <w:szCs w:val="24"/>
        </w:rPr>
        <w:t> </w:t>
      </w:r>
      <w:r w:rsidRPr="002C3328">
        <w:rPr>
          <w:rFonts w:ascii="Times New Roman" w:hAnsi="Times New Roman" w:cs="Times New Roman"/>
          <w:iCs/>
          <w:sz w:val="24"/>
          <w:szCs w:val="24"/>
        </w:rPr>
        <w:t>Фиксированн</w:t>
      </w:r>
      <w:r w:rsidR="00FD5050">
        <w:rPr>
          <w:rFonts w:ascii="Times New Roman" w:hAnsi="Times New Roman" w:cs="Times New Roman"/>
          <w:iCs/>
          <w:sz w:val="24"/>
          <w:szCs w:val="24"/>
        </w:rPr>
        <w:t>ые</w:t>
      </w:r>
      <w:r w:rsidRPr="002C3328">
        <w:rPr>
          <w:rFonts w:ascii="Times New Roman" w:hAnsi="Times New Roman" w:cs="Times New Roman"/>
          <w:iCs/>
          <w:sz w:val="24"/>
          <w:szCs w:val="24"/>
        </w:rPr>
        <w:t xml:space="preserve"> тарифные ставки применяются в отношении кажд</w:t>
      </w:r>
      <w:r w:rsidR="00850BE3">
        <w:rPr>
          <w:rFonts w:ascii="Times New Roman" w:hAnsi="Times New Roman" w:cs="Times New Roman"/>
          <w:iCs/>
          <w:sz w:val="24"/>
          <w:szCs w:val="24"/>
        </w:rPr>
        <w:t xml:space="preserve">ого плательщика при выполнении </w:t>
      </w:r>
      <w:r w:rsidRPr="002C3328">
        <w:rPr>
          <w:rFonts w:ascii="Times New Roman" w:hAnsi="Times New Roman" w:cs="Times New Roman"/>
          <w:iCs/>
          <w:sz w:val="24"/>
          <w:szCs w:val="24"/>
        </w:rPr>
        <w:t>им установленного объема перевозки (согласованного Белорусской железной дорогой). При определении объема перевозки учитываются контейнеры, переданные Белорусской железной дорогой на сопредельную дорогу</w:t>
      </w:r>
      <w:r w:rsidR="00850BE3">
        <w:rPr>
          <w:rFonts w:ascii="Times New Roman" w:hAnsi="Times New Roman" w:cs="Times New Roman"/>
          <w:iCs/>
          <w:sz w:val="24"/>
          <w:szCs w:val="24"/>
        </w:rPr>
        <w:t xml:space="preserve"> в течение календарного месяца.</w:t>
      </w:r>
    </w:p>
    <w:p w:rsidR="007D7E31" w:rsidRDefault="00992307" w:rsidP="009923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 </w:t>
      </w:r>
      <w:r w:rsidRPr="002C3328">
        <w:rPr>
          <w:rFonts w:ascii="Times New Roman" w:hAnsi="Times New Roman" w:cs="Times New Roman"/>
          <w:sz w:val="24"/>
          <w:szCs w:val="24"/>
        </w:rPr>
        <w:t xml:space="preserve">Фиксированные тарифные ставки установлены с учетом дополнительных расходов перевозчика, связанных с перемещением груженых, порожних контейнеров на пути необщего пользования, примыкающие к ст. Лыщицы и обратно. В графе 3 «Заявления отправителя» накладной СМГС </w:t>
      </w:r>
      <w:r w:rsidR="00BF467F">
        <w:rPr>
          <w:rFonts w:ascii="Times New Roman" w:hAnsi="Times New Roman" w:cs="Times New Roman"/>
          <w:sz w:val="24"/>
          <w:szCs w:val="24"/>
        </w:rPr>
        <w:t>должна быть учинена</w:t>
      </w:r>
      <w:r w:rsidRPr="002C3328">
        <w:rPr>
          <w:rFonts w:ascii="Times New Roman" w:hAnsi="Times New Roman" w:cs="Times New Roman"/>
          <w:sz w:val="24"/>
          <w:szCs w:val="24"/>
        </w:rPr>
        <w:t xml:space="preserve"> отметк</w:t>
      </w:r>
      <w:r w:rsidR="00BF467F">
        <w:rPr>
          <w:rFonts w:ascii="Times New Roman" w:hAnsi="Times New Roman" w:cs="Times New Roman"/>
          <w:sz w:val="24"/>
          <w:szCs w:val="24"/>
        </w:rPr>
        <w:t>а</w:t>
      </w:r>
      <w:r w:rsidRPr="002C3328">
        <w:rPr>
          <w:rFonts w:ascii="Times New Roman" w:hAnsi="Times New Roman" w:cs="Times New Roman"/>
          <w:sz w:val="24"/>
          <w:szCs w:val="24"/>
        </w:rPr>
        <w:t xml:space="preserve"> следующего содержания: «Перегрузка </w:t>
      </w:r>
      <w:r w:rsidRPr="002C3328">
        <w:rPr>
          <w:rFonts w:ascii="Times New Roman" w:hAnsi="Times New Roman" w:cs="Times New Roman"/>
          <w:sz w:val="24"/>
          <w:szCs w:val="24"/>
        </w:rPr>
        <w:lastRenderedPageBreak/>
        <w:t>контейнера на вагон колеи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2C3328">
        <w:rPr>
          <w:rFonts w:ascii="Times New Roman" w:hAnsi="Times New Roman" w:cs="Times New Roman"/>
          <w:sz w:val="24"/>
          <w:szCs w:val="24"/>
        </w:rPr>
        <w:t>мм по станции Лыщицы на подъездном пути …согласно договору…» (указывается номер договора, заключенного с РУП «Брестское отделение Бел.ж.д.»).</w:t>
      </w:r>
    </w:p>
    <w:p w:rsidR="002C3328" w:rsidRDefault="002C3328" w:rsidP="002C3328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:rsidR="002C3328" w:rsidRPr="00992307" w:rsidRDefault="00992307" w:rsidP="00992307">
      <w:pPr>
        <w:suppressAutoHyphens/>
        <w:spacing w:after="0" w:line="240" w:lineRule="auto"/>
        <w:ind w:left="705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992307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1469"/>
        <w:gridCol w:w="1410"/>
        <w:gridCol w:w="1409"/>
        <w:gridCol w:w="1545"/>
      </w:tblGrid>
      <w:tr w:rsidR="00992307" w:rsidRPr="002C3328" w:rsidTr="008E7BD9">
        <w:tc>
          <w:tcPr>
            <w:tcW w:w="9662" w:type="dxa"/>
            <w:gridSpan w:val="5"/>
            <w:shd w:val="clear" w:color="auto" w:fill="auto"/>
          </w:tcPr>
          <w:p w:rsidR="00992307" w:rsidRPr="002C3328" w:rsidRDefault="00992307" w:rsidP="00FD5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оезд комбинированного транспорта «Викинг»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</w:t>
            </w:r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контейнерны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 </w:t>
            </w:r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поезда «ZUBR», «</w:t>
            </w:r>
            <w:proofErr w:type="spellStart"/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Containerships</w:t>
            </w:r>
            <w:proofErr w:type="spellEnd"/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Train</w:t>
            </w:r>
            <w:proofErr w:type="spellEnd"/>
            <w:r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» </w:t>
            </w:r>
            <w:r w:rsidR="00A9350A">
              <w:rPr>
                <w:rFonts w:ascii="Times New Roman" w:eastAsia="Calibri" w:hAnsi="Times New Roman" w:cs="Times New Roman"/>
                <w:sz w:val="24"/>
                <w:szCs w:val="28"/>
              </w:rPr>
              <w:t>(далее – проекты «Викинг», «</w:t>
            </w:r>
            <w:r w:rsidR="00A9350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ZUBR</w:t>
            </w:r>
            <w:r w:rsidR="00A9350A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  <w:r w:rsidR="00A9350A"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, «</w:t>
            </w:r>
            <w:proofErr w:type="spellStart"/>
            <w:r w:rsidR="00A9350A"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Containerships</w:t>
            </w:r>
            <w:proofErr w:type="spellEnd"/>
            <w:r w:rsidR="00A9350A"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A9350A"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Train</w:t>
            </w:r>
            <w:proofErr w:type="spellEnd"/>
            <w:r w:rsidR="00A9350A" w:rsidRPr="000B441B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  <w:r w:rsidR="00A9350A">
              <w:rPr>
                <w:rFonts w:ascii="Times New Roman" w:eastAsia="Calibri" w:hAnsi="Times New Roman" w:cs="Times New Roman"/>
                <w:sz w:val="24"/>
                <w:szCs w:val="28"/>
              </w:rPr>
              <w:t>)</w:t>
            </w:r>
          </w:p>
        </w:tc>
      </w:tr>
      <w:tr w:rsidR="002C3328" w:rsidRPr="002C3328" w:rsidTr="00992307">
        <w:tc>
          <w:tcPr>
            <w:tcW w:w="3829" w:type="dxa"/>
            <w:vMerge w:val="restart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3328" w:rsidRPr="002C3328" w:rsidRDefault="002C3328" w:rsidP="00EA34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Контейнер отправителя, получателя</w:t>
            </w:r>
          </w:p>
        </w:tc>
        <w:tc>
          <w:tcPr>
            <w:tcW w:w="5833" w:type="dxa"/>
            <w:gridSpan w:val="4"/>
            <w:shd w:val="clear" w:color="auto" w:fill="auto"/>
          </w:tcPr>
          <w:p w:rsidR="00B82531" w:rsidRDefault="002C3328" w:rsidP="00B8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Фиксированн</w:t>
            </w:r>
            <w:r w:rsidR="00B82531">
              <w:rPr>
                <w:rFonts w:ascii="Times New Roman" w:hAnsi="Times New Roman" w:cs="Times New Roman"/>
                <w:sz w:val="24"/>
                <w:szCs w:val="24"/>
              </w:rPr>
              <w:t>ая тарифная</w:t>
            </w: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 xml:space="preserve"> ставк</w:t>
            </w:r>
            <w:r w:rsidR="00B825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230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C3328" w:rsidRPr="002C3328" w:rsidRDefault="002C3328" w:rsidP="00B825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328">
              <w:rPr>
                <w:rFonts w:ascii="Times New Roman" w:hAnsi="Times New Roman" w:cs="Times New Roman"/>
                <w:sz w:val="24"/>
                <w:szCs w:val="24"/>
              </w:rPr>
              <w:t>(долл.США/конт-км)</w:t>
            </w:r>
          </w:p>
        </w:tc>
      </w:tr>
      <w:tr w:rsidR="00EA3432" w:rsidRPr="002C3328" w:rsidTr="00992307">
        <w:tc>
          <w:tcPr>
            <w:tcW w:w="3829" w:type="dxa"/>
            <w:vMerge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shd w:val="clear" w:color="auto" w:fill="auto"/>
          </w:tcPr>
          <w:p w:rsidR="002C3328" w:rsidRPr="002C3328" w:rsidRDefault="002C3328" w:rsidP="00EA34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вагон </w:t>
            </w:r>
            <w:r w:rsidR="00EA3432">
              <w:rPr>
                <w:rFonts w:ascii="Times New Roman" w:eastAsia="Calibri" w:hAnsi="Times New Roman" w:cs="Times New Roman"/>
                <w:sz w:val="24"/>
                <w:szCs w:val="24"/>
              </w:rPr>
              <w:t>инвентарного парка (принадлежащий перевозчику)</w:t>
            </w:r>
          </w:p>
        </w:tc>
        <w:tc>
          <w:tcPr>
            <w:tcW w:w="2954" w:type="dxa"/>
            <w:gridSpan w:val="2"/>
            <w:shd w:val="clear" w:color="auto" w:fill="auto"/>
          </w:tcPr>
          <w:p w:rsidR="002C3328" w:rsidRPr="002C3328" w:rsidRDefault="00EA3432" w:rsidP="00EA34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приватный </w:t>
            </w:r>
            <w:r w:rsidR="002C3328"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вагон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(не принадлежащий перевозчику)</w:t>
            </w:r>
          </w:p>
        </w:tc>
      </w:tr>
      <w:tr w:rsidR="00EA3432" w:rsidRPr="002C3328" w:rsidTr="00992307">
        <w:tc>
          <w:tcPr>
            <w:tcW w:w="3829" w:type="dxa"/>
            <w:vMerge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груженый</w:t>
            </w:r>
          </w:p>
        </w:tc>
        <w:tc>
          <w:tcPr>
            <w:tcW w:w="1410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порожний</w:t>
            </w:r>
          </w:p>
        </w:tc>
        <w:tc>
          <w:tcPr>
            <w:tcW w:w="140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груженый</w:t>
            </w:r>
          </w:p>
        </w:tc>
        <w:tc>
          <w:tcPr>
            <w:tcW w:w="1545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порожний</w:t>
            </w:r>
          </w:p>
        </w:tc>
      </w:tr>
      <w:tr w:rsidR="002C3328" w:rsidRPr="002C3328" w:rsidTr="00992307">
        <w:tc>
          <w:tcPr>
            <w:tcW w:w="9662" w:type="dxa"/>
            <w:gridSpan w:val="5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Универсальный контейнер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До 20 футов включительно</w:t>
            </w:r>
          </w:p>
        </w:tc>
        <w:tc>
          <w:tcPr>
            <w:tcW w:w="146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0,285</w:t>
            </w:r>
          </w:p>
        </w:tc>
        <w:tc>
          <w:tcPr>
            <w:tcW w:w="1410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0,176</w:t>
            </w:r>
          </w:p>
        </w:tc>
        <w:tc>
          <w:tcPr>
            <w:tcW w:w="140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0,203</w:t>
            </w:r>
          </w:p>
        </w:tc>
        <w:tc>
          <w:tcPr>
            <w:tcW w:w="1545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0,100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свыше 20 футов до 30 футов включительно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0,337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0,191</w:t>
            </w:r>
          </w:p>
        </w:tc>
        <w:tc>
          <w:tcPr>
            <w:tcW w:w="140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0,286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0,142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свыше 30 футов </w:t>
            </w:r>
          </w:p>
        </w:tc>
        <w:tc>
          <w:tcPr>
            <w:tcW w:w="146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0,514</w:t>
            </w:r>
          </w:p>
        </w:tc>
        <w:tc>
          <w:tcPr>
            <w:tcW w:w="1410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0,316</w:t>
            </w:r>
          </w:p>
        </w:tc>
        <w:tc>
          <w:tcPr>
            <w:tcW w:w="140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0,365</w:t>
            </w:r>
          </w:p>
        </w:tc>
        <w:tc>
          <w:tcPr>
            <w:tcW w:w="1545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0,180</w:t>
            </w:r>
          </w:p>
        </w:tc>
      </w:tr>
      <w:tr w:rsidR="002C3328" w:rsidRPr="002C3328" w:rsidTr="00992307">
        <w:tc>
          <w:tcPr>
            <w:tcW w:w="9662" w:type="dxa"/>
            <w:gridSpan w:val="5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Специализированный контейнер</w:t>
            </w:r>
            <w:r w:rsidR="00992307">
              <w:rPr>
                <w:rFonts w:ascii="Times New Roman" w:eastAsia="Calibri" w:hAnsi="Times New Roman" w:cs="Times New Roman"/>
                <w:sz w:val="24"/>
                <w:szCs w:val="24"/>
              </w:rPr>
              <w:t>**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До 20 футов включительно</w:t>
            </w:r>
          </w:p>
        </w:tc>
        <w:tc>
          <w:tcPr>
            <w:tcW w:w="146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0,473</w:t>
            </w:r>
          </w:p>
        </w:tc>
        <w:tc>
          <w:tcPr>
            <w:tcW w:w="1410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0,291</w:t>
            </w:r>
          </w:p>
        </w:tc>
        <w:tc>
          <w:tcPr>
            <w:tcW w:w="140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0,337</w:t>
            </w:r>
          </w:p>
        </w:tc>
        <w:tc>
          <w:tcPr>
            <w:tcW w:w="1545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0,166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свыше 20 футов до 30 футов включительно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0,516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0,317</w:t>
            </w:r>
          </w:p>
        </w:tc>
        <w:tc>
          <w:tcPr>
            <w:tcW w:w="140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0,367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0,181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свыше 30футов до 40 футов включительно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0,853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0,524</w:t>
            </w:r>
          </w:p>
        </w:tc>
        <w:tc>
          <w:tcPr>
            <w:tcW w:w="1409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0,606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0,298</w:t>
            </w:r>
          </w:p>
        </w:tc>
      </w:tr>
      <w:tr w:rsidR="00EA3432" w:rsidRPr="002C3328" w:rsidTr="00992307">
        <w:tc>
          <w:tcPr>
            <w:tcW w:w="382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свыше 40 футов </w:t>
            </w:r>
          </w:p>
        </w:tc>
        <w:tc>
          <w:tcPr>
            <w:tcW w:w="146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0,855</w:t>
            </w:r>
          </w:p>
        </w:tc>
        <w:tc>
          <w:tcPr>
            <w:tcW w:w="1410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0,526</w:t>
            </w:r>
          </w:p>
        </w:tc>
        <w:tc>
          <w:tcPr>
            <w:tcW w:w="1409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0,608</w:t>
            </w:r>
          </w:p>
        </w:tc>
        <w:tc>
          <w:tcPr>
            <w:tcW w:w="1545" w:type="dxa"/>
            <w:shd w:val="clear" w:color="auto" w:fill="auto"/>
          </w:tcPr>
          <w:p w:rsidR="002C3328" w:rsidRPr="002C3328" w:rsidRDefault="002C3328" w:rsidP="002C332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3328">
              <w:rPr>
                <w:rFonts w:ascii="Times New Roman" w:eastAsia="Calibri" w:hAnsi="Times New Roman" w:cs="Times New Roman"/>
                <w:sz w:val="24"/>
                <w:szCs w:val="24"/>
              </w:rPr>
              <w:t>0,299</w:t>
            </w:r>
          </w:p>
        </w:tc>
      </w:tr>
    </w:tbl>
    <w:p w:rsidR="00992307" w:rsidRPr="00EA3432" w:rsidRDefault="00992307" w:rsidP="0099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* </w:t>
      </w:r>
      <w:r w:rsidRPr="00EA3432">
        <w:rPr>
          <w:rFonts w:ascii="Times New Roman" w:hAnsi="Times New Roman" w:cs="Times New Roman"/>
          <w:sz w:val="24"/>
          <w:szCs w:val="24"/>
        </w:rPr>
        <w:t>Плата за перевозки груженого контейнера перевозчика исчисляется по фиксированным тарифным ставкам, установленным для контейнера отправителя, получателя, с применением коэффициента 1,18.</w:t>
      </w:r>
    </w:p>
    <w:p w:rsidR="000F7ACF" w:rsidRPr="002C3328" w:rsidRDefault="00992307" w:rsidP="0099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** </w:t>
      </w:r>
      <w:r w:rsidR="000F7ACF" w:rsidRPr="002C3328">
        <w:rPr>
          <w:rFonts w:ascii="Times New Roman" w:hAnsi="Times New Roman" w:cs="Times New Roman"/>
          <w:sz w:val="24"/>
          <w:szCs w:val="28"/>
        </w:rPr>
        <w:t>Плата за перевозку рефрижераторн</w:t>
      </w:r>
      <w:r w:rsidR="00BF467F">
        <w:rPr>
          <w:rFonts w:ascii="Times New Roman" w:hAnsi="Times New Roman" w:cs="Times New Roman"/>
          <w:sz w:val="24"/>
          <w:szCs w:val="28"/>
        </w:rPr>
        <w:t>ого</w:t>
      </w:r>
      <w:r w:rsidR="000F7ACF" w:rsidRPr="002C3328">
        <w:rPr>
          <w:rFonts w:ascii="Times New Roman" w:hAnsi="Times New Roman" w:cs="Times New Roman"/>
          <w:sz w:val="24"/>
          <w:szCs w:val="28"/>
        </w:rPr>
        <w:t xml:space="preserve"> контейнер</w:t>
      </w:r>
      <w:r w:rsidR="00BF467F">
        <w:rPr>
          <w:rFonts w:ascii="Times New Roman" w:hAnsi="Times New Roman" w:cs="Times New Roman"/>
          <w:sz w:val="24"/>
          <w:szCs w:val="28"/>
        </w:rPr>
        <w:t>а</w:t>
      </w:r>
      <w:r w:rsidR="000F7ACF" w:rsidRPr="002C3328">
        <w:rPr>
          <w:rFonts w:ascii="Times New Roman" w:hAnsi="Times New Roman" w:cs="Times New Roman"/>
          <w:sz w:val="24"/>
          <w:szCs w:val="28"/>
        </w:rPr>
        <w:t xml:space="preserve"> (в т.ч. автономн</w:t>
      </w:r>
      <w:r w:rsidR="00BF467F">
        <w:rPr>
          <w:rFonts w:ascii="Times New Roman" w:hAnsi="Times New Roman" w:cs="Times New Roman"/>
          <w:sz w:val="24"/>
          <w:szCs w:val="28"/>
        </w:rPr>
        <w:t>ого</w:t>
      </w:r>
      <w:r w:rsidR="000F7ACF" w:rsidRPr="002C3328">
        <w:rPr>
          <w:rFonts w:ascii="Times New Roman" w:hAnsi="Times New Roman" w:cs="Times New Roman"/>
          <w:sz w:val="24"/>
          <w:szCs w:val="28"/>
        </w:rPr>
        <w:t>), исчисленная по фиксированным тарифным ставкам, включает в себя стоимость перевозки дизель-генераторного вагона с обслуживающим персоналом.</w:t>
      </w:r>
    </w:p>
    <w:p w:rsidR="000F7ACF" w:rsidRDefault="000F7ACF" w:rsidP="002C3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2307" w:rsidRDefault="00992307" w:rsidP="002C3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к таблицам 1, 2: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Pr="00A9350A">
        <w:rPr>
          <w:rFonts w:ascii="Times New Roman" w:hAnsi="Times New Roman"/>
          <w:sz w:val="24"/>
          <w:szCs w:val="24"/>
        </w:rPr>
        <w:t>Фиксированн</w:t>
      </w:r>
      <w:r>
        <w:rPr>
          <w:rFonts w:ascii="Times New Roman" w:hAnsi="Times New Roman"/>
          <w:sz w:val="24"/>
          <w:szCs w:val="24"/>
        </w:rPr>
        <w:t>ая тарифная ставка</w:t>
      </w:r>
      <w:r w:rsidRPr="00A9350A">
        <w:rPr>
          <w:rFonts w:ascii="Times New Roman" w:hAnsi="Times New Roman"/>
          <w:sz w:val="24"/>
          <w:szCs w:val="24"/>
        </w:rPr>
        <w:t>, коэффициент к тарифам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50A">
        <w:rPr>
          <w:rFonts w:ascii="Times New Roman" w:hAnsi="Times New Roman"/>
          <w:sz w:val="24"/>
          <w:szCs w:val="24"/>
        </w:rPr>
        <w:t xml:space="preserve">на перевозку контейнера в составе контейнерного поезда (кроме </w:t>
      </w:r>
      <w:r>
        <w:rPr>
          <w:rFonts w:ascii="Times New Roman" w:hAnsi="Times New Roman"/>
          <w:sz w:val="24"/>
          <w:szCs w:val="24"/>
        </w:rPr>
        <w:t>проектов</w:t>
      </w:r>
      <w:r w:rsidRPr="000B441B">
        <w:rPr>
          <w:rFonts w:ascii="Times New Roman" w:eastAsia="Calibri" w:hAnsi="Times New Roman"/>
          <w:sz w:val="24"/>
          <w:szCs w:val="28"/>
        </w:rPr>
        <w:t xml:space="preserve"> «Викинг»</w:t>
      </w:r>
      <w:r>
        <w:rPr>
          <w:rFonts w:ascii="Times New Roman" w:eastAsia="Calibri" w:hAnsi="Times New Roman"/>
          <w:sz w:val="24"/>
          <w:szCs w:val="28"/>
        </w:rPr>
        <w:t xml:space="preserve">, </w:t>
      </w:r>
      <w:r w:rsidRPr="000B441B">
        <w:rPr>
          <w:rFonts w:ascii="Times New Roman" w:eastAsia="Calibri" w:hAnsi="Times New Roman"/>
          <w:sz w:val="24"/>
          <w:szCs w:val="28"/>
        </w:rPr>
        <w:t>«ZUBR»</w:t>
      </w:r>
      <w:r w:rsidRPr="00A9350A">
        <w:rPr>
          <w:rFonts w:ascii="Times New Roman" w:hAnsi="Times New Roman"/>
          <w:sz w:val="24"/>
          <w:szCs w:val="24"/>
        </w:rPr>
        <w:t>), применяется: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 xml:space="preserve">при длине контейнерного поезда не менее 57 условных вагонов; 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 xml:space="preserve">при изменении в пути следования длины контейнерного поезда до 55 условных вагонов; 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>при подтверждении станцией формирования контейнерного поезда соблюдения длины контейнерного поезда не менее 57 условных вагонов в случае поступления на Белорусскую железную дорогу контейнерного поезда с длиной менее 55 условных вагонов;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 xml:space="preserve">на контейнеры, отцепленные от контейнерного поезда в пути следования. 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>При определении длины контейнерного поезда учитываются вагоны с контейнерами (груженые, порожние) и другие вагоны, включенные в состав контейнерного поезда с учетом требований правил перевозок грузов (вагоны с проводниками, вагоны прикрытия и другие)</w:t>
      </w:r>
      <w:r w:rsidR="0050309C">
        <w:rPr>
          <w:rFonts w:ascii="Times New Roman" w:hAnsi="Times New Roman"/>
          <w:sz w:val="24"/>
          <w:szCs w:val="24"/>
        </w:rPr>
        <w:t>.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 xml:space="preserve">2. Фиксированный тариф, коэффициент к тарифам на перевозку контейнера в рамках проектов «Викинг», «ZUBR», применяется при наличии «ядра» в количестве не менее 10 вагонов с контейнерами. Контейнеры, принадлежащие к разным проектам и находящиеся на одном вагоне, учитываются при определении «ядра» </w:t>
      </w:r>
      <w:r w:rsidR="0047032D">
        <w:rPr>
          <w:rFonts w:ascii="Times New Roman" w:hAnsi="Times New Roman"/>
          <w:sz w:val="24"/>
          <w:szCs w:val="24"/>
        </w:rPr>
        <w:t>по каждому проекту</w:t>
      </w:r>
      <w:r w:rsidRPr="00A9350A">
        <w:rPr>
          <w:rFonts w:ascii="Times New Roman" w:hAnsi="Times New Roman"/>
          <w:sz w:val="24"/>
          <w:szCs w:val="24"/>
        </w:rPr>
        <w:t>.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>3. Оператором проектов «Викинг», «ZUBR», «С</w:t>
      </w:r>
      <w:proofErr w:type="spellStart"/>
      <w:r w:rsidRPr="00A9350A">
        <w:rPr>
          <w:rFonts w:ascii="Times New Roman" w:hAnsi="Times New Roman"/>
          <w:sz w:val="24"/>
          <w:szCs w:val="24"/>
          <w:lang w:val="en-US"/>
        </w:rPr>
        <w:t>ontainerships</w:t>
      </w:r>
      <w:proofErr w:type="spellEnd"/>
      <w:r w:rsidRPr="00A9350A">
        <w:rPr>
          <w:rFonts w:ascii="Times New Roman" w:hAnsi="Times New Roman"/>
          <w:sz w:val="24"/>
          <w:szCs w:val="24"/>
        </w:rPr>
        <w:t xml:space="preserve"> </w:t>
      </w:r>
      <w:r w:rsidRPr="00A9350A">
        <w:rPr>
          <w:rFonts w:ascii="Times New Roman" w:hAnsi="Times New Roman"/>
          <w:sz w:val="24"/>
          <w:szCs w:val="24"/>
          <w:lang w:val="en-US"/>
        </w:rPr>
        <w:t>Train</w:t>
      </w:r>
      <w:r w:rsidRPr="00A9350A">
        <w:rPr>
          <w:rFonts w:ascii="Times New Roman" w:hAnsi="Times New Roman"/>
          <w:sz w:val="24"/>
          <w:szCs w:val="24"/>
        </w:rPr>
        <w:t>» является государственное предприятие «БТЛЦ».</w:t>
      </w:r>
    </w:p>
    <w:p w:rsidR="00A9350A" w:rsidRPr="00A9350A" w:rsidRDefault="00A9350A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350A">
        <w:rPr>
          <w:rFonts w:ascii="Times New Roman" w:hAnsi="Times New Roman"/>
          <w:sz w:val="24"/>
          <w:szCs w:val="24"/>
        </w:rPr>
        <w:t>4. К фиксированному тарифу коэффициент не применяется.</w:t>
      </w:r>
    </w:p>
    <w:p w:rsidR="00A9350A" w:rsidRPr="00A9350A" w:rsidRDefault="00BF467F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A9350A" w:rsidRPr="00A9350A">
        <w:rPr>
          <w:rFonts w:ascii="Times New Roman" w:hAnsi="Times New Roman"/>
          <w:sz w:val="24"/>
          <w:szCs w:val="24"/>
        </w:rPr>
        <w:t>. Фиксированный тариф, коэффициент не применяется при изменении договора перевозки (переадресовке груза).</w:t>
      </w:r>
    </w:p>
    <w:p w:rsidR="00A9350A" w:rsidRPr="00A9350A" w:rsidRDefault="00BF467F" w:rsidP="00A9350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350A" w:rsidRPr="00A9350A">
        <w:rPr>
          <w:rFonts w:ascii="Times New Roman" w:hAnsi="Times New Roman"/>
          <w:sz w:val="24"/>
          <w:szCs w:val="24"/>
        </w:rPr>
        <w:t>.</w:t>
      </w:r>
      <w:r w:rsidR="00A9350A" w:rsidRPr="00A9350A">
        <w:rPr>
          <w:sz w:val="24"/>
          <w:szCs w:val="24"/>
        </w:rPr>
        <w:t> </w:t>
      </w:r>
      <w:r w:rsidR="00A9350A" w:rsidRPr="00A9350A">
        <w:rPr>
          <w:rFonts w:ascii="Times New Roman" w:hAnsi="Times New Roman"/>
          <w:sz w:val="24"/>
          <w:szCs w:val="24"/>
        </w:rPr>
        <w:t>Фиксированный тариф, коэффициент на транзитные перевозки контейнеров, применяется в отношении объемов перевозок, согласованных Белорусской железной дорогой установленным порядком.</w:t>
      </w:r>
    </w:p>
    <w:p w:rsidR="00125635" w:rsidRDefault="00125635" w:rsidP="00A940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328" w:rsidRPr="000C7616" w:rsidRDefault="00A940E6" w:rsidP="00A940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6CB8">
        <w:rPr>
          <w:rFonts w:ascii="Times New Roman" w:eastAsia="Calibri" w:hAnsi="Times New Roman" w:cs="Times New Roman"/>
          <w:b/>
          <w:sz w:val="24"/>
          <w:szCs w:val="24"/>
        </w:rPr>
        <w:t>10.3.</w:t>
      </w:r>
      <w:r w:rsidRPr="000C7616">
        <w:rPr>
          <w:rFonts w:ascii="Times New Roman" w:eastAsia="Calibri" w:hAnsi="Times New Roman" w:cs="Times New Roman"/>
          <w:sz w:val="24"/>
          <w:szCs w:val="24"/>
        </w:rPr>
        <w:t xml:space="preserve"> Дополнительные сборы и платы, связанные с организацией и осуществлением перевозок грузов (с учетом сборов, исчисляемых в соответствии с МТТ)</w:t>
      </w:r>
    </w:p>
    <w:p w:rsidR="00A940E6" w:rsidRDefault="00A940E6" w:rsidP="00A940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559"/>
        <w:gridCol w:w="1276"/>
      </w:tblGrid>
      <w:tr w:rsidR="00A940E6" w:rsidRPr="0040135E" w:rsidTr="00841AD4">
        <w:trPr>
          <w:trHeight w:val="35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№</w:t>
            </w:r>
            <w:r>
              <w:rPr>
                <w:rFonts w:ascii="Times New Roman" w:hAnsi="Times New Roman"/>
                <w:sz w:val="23"/>
                <w:szCs w:val="23"/>
              </w:rPr>
              <w:br/>
            </w:r>
            <w:r w:rsidRPr="00C44C5B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F13357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3357">
              <w:rPr>
                <w:rFonts w:ascii="Times New Roman" w:hAnsi="Times New Roman"/>
                <w:sz w:val="23"/>
                <w:szCs w:val="23"/>
              </w:rPr>
              <w:t>Наименование сбора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F13357" w:rsidRDefault="00A940E6" w:rsidP="00841AD4">
            <w:pPr>
              <w:spacing w:after="0" w:line="20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13357">
              <w:rPr>
                <w:rFonts w:ascii="Times New Roman" w:hAnsi="Times New Roman"/>
                <w:sz w:val="23"/>
                <w:szCs w:val="23"/>
              </w:rPr>
              <w:t>Размер сбора, платы, шв.фр. (кроме огово-</w:t>
            </w:r>
          </w:p>
          <w:p w:rsidR="00A940E6" w:rsidRPr="001B2815" w:rsidRDefault="00A940E6" w:rsidP="00841AD4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357">
              <w:rPr>
                <w:rFonts w:ascii="Times New Roman" w:hAnsi="Times New Roman"/>
                <w:sz w:val="23"/>
                <w:szCs w:val="23"/>
              </w:rPr>
              <w:t>ренных отдельно)</w:t>
            </w:r>
          </w:p>
        </w:tc>
      </w:tr>
      <w:tr w:rsidR="00A940E6" w:rsidRPr="0040135E" w:rsidTr="00841AD4">
        <w:trPr>
          <w:trHeight w:val="74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0E6" w:rsidRPr="00C44C5B" w:rsidRDefault="00A940E6" w:rsidP="00841AD4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5C17F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C17F2">
              <w:rPr>
                <w:rFonts w:ascii="Times New Roman" w:hAnsi="Times New Roman"/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перегрузку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из вагона одной ширины колеи в вагон другой ширины колеи</w:t>
            </w:r>
            <w:r w:rsidRPr="001B2815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, 2</w:t>
            </w: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81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Грузы, перевозимые насыпью и навалом: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EA12FC">
              <w:rPr>
                <w:rFonts w:ascii="Times New Roman" w:hAnsi="Times New Roman"/>
                <w:bCs/>
                <w:sz w:val="23"/>
                <w:szCs w:val="23"/>
              </w:rPr>
              <w:t> </w:t>
            </w: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1.1.1.</w:t>
            </w:r>
            <w:r w:rsidRPr="00C44C5B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всех типах вагонов (кроме крытых)</w:t>
            </w:r>
          </w:p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сообщении Запад – Восток</w:t>
            </w:r>
          </w:p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сообщении Восток – Запад </w:t>
            </w:r>
            <w:r w:rsidRPr="00852AC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8,7</w:t>
            </w:r>
          </w:p>
          <w:p w:rsidR="00A940E6" w:rsidRPr="00581ED4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Cs w:val="24"/>
              </w:rPr>
              <w:t>дол</w:t>
            </w:r>
            <w:r>
              <w:rPr>
                <w:rFonts w:ascii="Times New Roman" w:hAnsi="Times New Roman"/>
                <w:bCs/>
                <w:szCs w:val="24"/>
              </w:rPr>
              <w:t>л</w:t>
            </w:r>
            <w:r w:rsidRPr="00320B3E">
              <w:rPr>
                <w:rFonts w:ascii="Times New Roman" w:hAnsi="Times New Roman"/>
                <w:bCs/>
                <w:szCs w:val="24"/>
              </w:rPr>
              <w:t>.США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1.1.2.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уголь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1,57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грузы (кроме угля)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3,83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крытых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Грузы, перевозимые на поддонах или в пакетах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6,7</w:t>
            </w:r>
          </w:p>
        </w:tc>
      </w:tr>
      <w:tr w:rsidR="00A940E6" w:rsidRPr="0040135E" w:rsidTr="00841AD4">
        <w:trPr>
          <w:trHeight w:val="14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1.3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Грузы в таре, в упаковке или штучные:</w:t>
            </w:r>
          </w:p>
        </w:tc>
        <w:tc>
          <w:tcPr>
            <w:tcW w:w="155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682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1.3.1.</w:t>
            </w:r>
            <w:r w:rsidRPr="00C44C5B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грузы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таре и упаковке в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кры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тых вагонах с числом мест 1000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и более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16,5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1.3.2.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штучные грузы в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кры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тых вагонах с числом мест 1000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1.3.3.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815"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10,5</w:t>
            </w:r>
          </w:p>
        </w:tc>
      </w:tr>
      <w:tr w:rsidR="00A940E6" w:rsidRPr="0040135E" w:rsidTr="00841AD4">
        <w:trPr>
          <w:trHeight w:val="5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083AB4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Грузы негабаритные, тяжеловесные, с весом одного места 60 т и выше, длинномерные длиной свыше 18 м </w:t>
            </w:r>
            <w:r w:rsidRPr="005F40E5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грузы, перевозимые в специальных цистернах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19,7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 и металлические изделия габаритные и с нижней негабаритностью 1-2 степени, боковой 1-3 степени, верхней 1-2 степени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5,1</w:t>
            </w:r>
          </w:p>
        </w:tc>
      </w:tr>
      <w:tr w:rsidR="00A940E6" w:rsidRPr="0040135E" w:rsidTr="00841AD4">
        <w:trPr>
          <w:trHeight w:val="32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ИТЕ (кроме контейнера) и АТС в груженом состоянии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70,3</w:t>
            </w:r>
          </w:p>
        </w:tc>
      </w:tr>
      <w:tr w:rsidR="00A940E6" w:rsidRPr="0040135E" w:rsidTr="00841AD4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ИТЕ (кроме контейнера) и АТС в порожнем состоянии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35,1</w:t>
            </w:r>
          </w:p>
        </w:tc>
      </w:tr>
      <w:tr w:rsidR="00A940E6" w:rsidRPr="0040135E" w:rsidTr="00841AD4">
        <w:trPr>
          <w:trHeight w:val="417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1.8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1.8.1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1.8.2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A940E6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1.8.3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1.8.4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Контейнер крупнотоннажный (груженый, порожний):</w:t>
            </w:r>
          </w:p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в сообщении Запад – Восток:</w:t>
            </w:r>
          </w:p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по прямому варианту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Cs w:val="24"/>
              </w:rPr>
              <w:t>долл.США</w:t>
            </w:r>
          </w:p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37,0</w:t>
            </w:r>
          </w:p>
        </w:tc>
      </w:tr>
      <w:tr w:rsidR="00A940E6" w:rsidRPr="0040135E" w:rsidTr="00841AD4">
        <w:trPr>
          <w:trHeight w:val="4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B75412" w:rsidRDefault="00A940E6" w:rsidP="00E764FD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с выгрузкой на площадку (склад) по причинам, зависящим от отправителя, получателя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A940E6" w:rsidRPr="0040135E" w:rsidTr="00841AD4">
        <w:trPr>
          <w:trHeight w:val="4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сообщении Восток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Запад:</w:t>
            </w:r>
          </w:p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по прямому варианту</w:t>
            </w:r>
          </w:p>
          <w:p w:rsidR="00A940E6" w:rsidRPr="00B75412" w:rsidRDefault="00A940E6" w:rsidP="00E764FD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color w:val="000000"/>
                <w:sz w:val="24"/>
                <w:szCs w:val="24"/>
              </w:rPr>
              <w:t>с выгрузкой на площадку (склад) по причинам, зависящим от отправителя, получателя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0E6" w:rsidRPr="00B75412" w:rsidRDefault="00A940E6" w:rsidP="00841AD4">
            <w:pPr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коэф-т 0,9</w:t>
            </w:r>
          </w:p>
          <w:p w:rsidR="00A940E6" w:rsidRPr="00B75412" w:rsidRDefault="00A940E6" w:rsidP="00841AD4">
            <w:pPr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 размеру сборов, установлен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B7541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ных в сообщении</w:t>
            </w:r>
            <w:r w:rsidRPr="00B754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Запад – Восток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5C17F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C17F2">
              <w:rPr>
                <w:rFonts w:ascii="Times New Roman" w:hAnsi="Times New Roman"/>
                <w:b/>
                <w:bCs/>
                <w:sz w:val="23"/>
                <w:szCs w:val="23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8819AC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Сбор за перестановку вагонов на тележки другой </w:t>
            </w:r>
            <w:r w:rsidRPr="000870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ширины </w:t>
            </w: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колеи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8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2.1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1B2815" w:rsidRDefault="00A940E6" w:rsidP="00D832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815">
              <w:rPr>
                <w:rFonts w:ascii="Times New Roman" w:hAnsi="Times New Roman"/>
                <w:sz w:val="24"/>
                <w:szCs w:val="24"/>
              </w:rPr>
              <w:t>За перестановку гружен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вагон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; порожн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="00D8320B">
              <w:rPr>
                <w:rFonts w:ascii="Times New Roman" w:hAnsi="Times New Roman"/>
                <w:sz w:val="24"/>
                <w:szCs w:val="24"/>
              </w:rPr>
              <w:t xml:space="preserve"> приватного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вагон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D8320B">
              <w:rPr>
                <w:rFonts w:ascii="Times New Roman" w:hAnsi="Times New Roman"/>
                <w:sz w:val="24"/>
                <w:szCs w:val="24"/>
              </w:rPr>
              <w:t>(не принадлежащего перевозчику)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; подвижного состава, перевозимого как груз на своих осях</w:t>
            </w:r>
            <w:r w:rsidRPr="00737AA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ось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2.2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установл</w:t>
            </w:r>
            <w:r>
              <w:rPr>
                <w:rFonts w:ascii="Times New Roman" w:hAnsi="Times New Roman"/>
                <w:sz w:val="24"/>
                <w:szCs w:val="24"/>
              </w:rPr>
              <w:t>ение (снятие)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буферны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прибор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вагон</w:t>
            </w:r>
            <w:r>
              <w:rPr>
                <w:rFonts w:ascii="Times New Roman" w:hAnsi="Times New Roman"/>
                <w:sz w:val="24"/>
                <w:szCs w:val="24"/>
              </w:rPr>
              <w:t>ов при их перестановке.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 xml:space="preserve"> В случае установки или снятия буферных приборов только на крайних вагонах в группе вагонов сбор взимается за один вагон, распределяется пропорционально количеству вагонов в группе и вписыва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B2815">
              <w:rPr>
                <w:rFonts w:ascii="Times New Roman" w:hAnsi="Times New Roman"/>
                <w:sz w:val="24"/>
                <w:szCs w:val="24"/>
              </w:rPr>
              <w:t>тся в каждую накладную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B2815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815">
              <w:rPr>
                <w:rFonts w:ascii="Times New Roman" w:hAnsi="Times New Roman"/>
                <w:b/>
                <w:bCs/>
                <w:sz w:val="24"/>
                <w:szCs w:val="24"/>
              </w:rPr>
              <w:t>26,1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C44C5B">
              <w:rPr>
                <w:rFonts w:ascii="Times New Roman" w:hAnsi="Times New Roman"/>
                <w:b/>
                <w:bCs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объявление ценности груза</w:t>
            </w:r>
          </w:p>
          <w:p w:rsidR="00A940E6" w:rsidRPr="00AF4949" w:rsidRDefault="00A940E6" w:rsidP="006E0F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а объявление ценности груза сбор взимается независимо от расстояния в пользу каждо</w:t>
            </w:r>
            <w:r>
              <w:rPr>
                <w:rFonts w:ascii="Times New Roman" w:hAnsi="Times New Roman"/>
                <w:sz w:val="24"/>
                <w:szCs w:val="24"/>
              </w:rPr>
              <w:t>го перевозчика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отдельно. Неполные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швейцарских 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франков принимаются за полные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 xml:space="preserve">100 шв.фр </w:t>
            </w:r>
            <w:r w:rsidRPr="002B5B7D">
              <w:rPr>
                <w:rFonts w:ascii="Times New Roman" w:hAnsi="Times New Roman"/>
                <w:sz w:val="20"/>
                <w:szCs w:val="20"/>
              </w:rPr>
              <w:t>объявленной ценности груза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1,20</w:t>
            </w:r>
          </w:p>
        </w:tc>
      </w:tr>
      <w:tr w:rsidR="00A940E6" w:rsidRPr="0040135E" w:rsidTr="00841AD4">
        <w:trPr>
          <w:trHeight w:val="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C44C5B">
              <w:rPr>
                <w:rFonts w:ascii="Times New Roman" w:hAnsi="Times New Roman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C44C5B">
              <w:rPr>
                <w:rFonts w:ascii="Times New Roman" w:hAnsi="Times New Roman"/>
                <w:b/>
                <w:bCs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Сбор, связанны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таможенным </w:t>
            </w:r>
            <w:r w:rsidRPr="000870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осмотром</w:t>
            </w:r>
            <w:r w:rsidRPr="00C276D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перевозимых грузов</w:t>
            </w:r>
            <w:r w:rsidRPr="00AF4949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1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а покрытие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перевозчиков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, связанных с таможенным </w:t>
            </w:r>
            <w:r>
              <w:rPr>
                <w:rFonts w:ascii="Times New Roman" w:hAnsi="Times New Roman"/>
                <w:sz w:val="24"/>
                <w:szCs w:val="24"/>
              </w:rPr>
              <w:t>контролем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перевозимых грузов, в пользу каждо</w:t>
            </w:r>
            <w:r>
              <w:rPr>
                <w:rFonts w:ascii="Times New Roman" w:hAnsi="Times New Roman"/>
                <w:sz w:val="24"/>
                <w:szCs w:val="24"/>
              </w:rPr>
              <w:t>го перевозчика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взимается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сбор 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(один раз), независимо от сборов, взыскиваемых таможенными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вагон, контейнер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A940E6" w:rsidRPr="0040135E" w:rsidTr="00841AD4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C44C5B">
              <w:rPr>
                <w:rFonts w:ascii="Times New Roman" w:hAnsi="Times New Roman"/>
                <w:b/>
                <w:bCs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471F1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крепление груза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7AA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AF4949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53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5.1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руз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, способ размещения и крепления которых предусмотрен СМГС (включая эскиз)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112,6</w:t>
            </w:r>
          </w:p>
        </w:tc>
      </w:tr>
      <w:tr w:rsidR="00A940E6" w:rsidRPr="0040135E" w:rsidTr="00841AD4">
        <w:trPr>
          <w:trHeight w:val="11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5.2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40E6" w:rsidRPr="00181F0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5.2.1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5.2.2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руз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>, способ размещения и крепления которых не предусмотрен СМГС (МТУ, НТУ, чертеж)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массой одного места до 25 тонн, кроме грузов на транспортерах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181F0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199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A940E6" w:rsidRPr="0040135E" w:rsidTr="00841AD4">
        <w:trPr>
          <w:trHeight w:val="55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 xml:space="preserve">массой одного места 25 тонн и более, а также грузов на транспортерах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по договору</w:t>
            </w:r>
          </w:p>
        </w:tc>
      </w:tr>
      <w:tr w:rsidR="00A940E6" w:rsidRPr="0040135E" w:rsidTr="0047032D">
        <w:trPr>
          <w:trHeight w:val="8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6827C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827CE">
              <w:rPr>
                <w:rFonts w:ascii="Times New Roman" w:hAnsi="Times New Roman"/>
                <w:b/>
                <w:bCs/>
                <w:sz w:val="23"/>
                <w:szCs w:val="23"/>
              </w:rPr>
              <w:t>6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6346EC" w:rsidRDefault="00A940E6" w:rsidP="00841AD4">
            <w:pPr>
              <w:spacing w:after="0" w:line="22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задержку вагона и контейнера на транзитной железной дороге по причине, не зависящей от перевозчика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(взимается в пользу перевозчика, понесшего дополнительные расходы в связи с задержкой):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6, 7, 8, 9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6827CE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827CE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6827CE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27C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двухосные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</w:t>
            </w:r>
            <w:r>
              <w:rPr>
                <w:rFonts w:ascii="Times New Roman" w:hAnsi="Times New Roman"/>
                <w:sz w:val="23"/>
                <w:szCs w:val="23"/>
              </w:rPr>
              <w:t>оно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1,8</w:t>
            </w:r>
          </w:p>
        </w:tc>
      </w:tr>
      <w:tr w:rsidR="00A940E6" w:rsidRPr="0040135E" w:rsidTr="00841AD4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вагоны с 3-мя и более осями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</w:t>
            </w:r>
            <w:r>
              <w:rPr>
                <w:rFonts w:ascii="Times New Roman" w:hAnsi="Times New Roman"/>
                <w:sz w:val="23"/>
                <w:szCs w:val="23"/>
              </w:rPr>
              <w:t>оно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A940E6" w:rsidRPr="0040135E" w:rsidTr="00841AD4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6.3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транспортер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6.3.1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количеством осей до 8 включительно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</w:t>
            </w:r>
            <w:r>
              <w:rPr>
                <w:rFonts w:ascii="Times New Roman" w:hAnsi="Times New Roman"/>
                <w:sz w:val="23"/>
                <w:szCs w:val="23"/>
              </w:rPr>
              <w:t>оно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5,12</w:t>
            </w:r>
          </w:p>
        </w:tc>
      </w:tr>
      <w:tr w:rsidR="00A940E6" w:rsidRPr="0040135E" w:rsidTr="00841AD4">
        <w:trPr>
          <w:trHeight w:val="371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6.3.2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количеством осей более 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осе-час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0,76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10-футовы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конт</w:t>
            </w:r>
            <w:r>
              <w:rPr>
                <w:rFonts w:ascii="Times New Roman" w:hAnsi="Times New Roman"/>
                <w:sz w:val="23"/>
                <w:szCs w:val="23"/>
              </w:rPr>
              <w:t>ейнеро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0,65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20-футовы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конт</w:t>
            </w:r>
            <w:r>
              <w:rPr>
                <w:rFonts w:ascii="Times New Roman" w:hAnsi="Times New Roman"/>
                <w:sz w:val="23"/>
                <w:szCs w:val="23"/>
              </w:rPr>
              <w:t>ейнеро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1,42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>За 30, 40, 45-футовы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F4949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конт</w:t>
            </w:r>
            <w:r>
              <w:rPr>
                <w:rFonts w:ascii="Times New Roman" w:hAnsi="Times New Roman"/>
                <w:sz w:val="23"/>
                <w:szCs w:val="23"/>
              </w:rPr>
              <w:t>ейнеро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2,83</w:t>
            </w:r>
          </w:p>
        </w:tc>
      </w:tr>
      <w:tr w:rsidR="00A940E6" w:rsidRPr="0040135E" w:rsidTr="00841AD4">
        <w:trPr>
          <w:trHeight w:val="4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C44C5B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44C5B">
              <w:rPr>
                <w:rFonts w:ascii="Times New Roman" w:hAnsi="Times New Roman"/>
                <w:sz w:val="23"/>
                <w:szCs w:val="23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67089F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4949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дизель – генераторный вагон </w:t>
            </w:r>
            <w:r w:rsidRPr="00E2732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</w:t>
            </w:r>
            <w:r>
              <w:rPr>
                <w:rFonts w:ascii="Times New Roman" w:hAnsi="Times New Roman"/>
                <w:sz w:val="23"/>
                <w:szCs w:val="23"/>
              </w:rPr>
              <w:t>оно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5,12</w:t>
            </w:r>
          </w:p>
        </w:tc>
      </w:tr>
      <w:tr w:rsidR="00A940E6" w:rsidRPr="0040135E" w:rsidTr="00841AD4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5C17F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C17F2">
              <w:rPr>
                <w:rFonts w:ascii="Times New Roman" w:hAnsi="Times New Roman"/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Сбор з</w:t>
            </w: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а поение водой при перевозке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AF494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949">
              <w:rPr>
                <w:rFonts w:ascii="Times New Roman" w:hAnsi="Times New Roman"/>
                <w:b/>
                <w:bCs/>
                <w:sz w:val="24"/>
                <w:szCs w:val="24"/>
              </w:rPr>
              <w:t>21,0</w:t>
            </w:r>
          </w:p>
        </w:tc>
      </w:tr>
      <w:tr w:rsidR="00A940E6" w:rsidRPr="0040135E" w:rsidTr="00841AD4">
        <w:trPr>
          <w:trHeight w:val="8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11708C" w:rsidRDefault="00A940E6" w:rsidP="00D832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Плата за пользование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2-осной тележкой </w:t>
            </w: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 перестановке </w:t>
            </w:r>
            <w:r w:rsidR="00D832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приватных </w:t>
            </w: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t>вагонов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8320B">
              <w:rPr>
                <w:rFonts w:ascii="Times New Roman" w:hAnsi="Times New Roman"/>
                <w:b/>
                <w:bCs/>
                <w:sz w:val="24"/>
                <w:szCs w:val="24"/>
              </w:rPr>
              <w:t>(не принадлежащих перевозчику)</w:t>
            </w:r>
            <w:r w:rsidRPr="0011708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1708C">
              <w:rPr>
                <w:rFonts w:ascii="Times New Roman" w:hAnsi="Times New Roman"/>
                <w:sz w:val="23"/>
                <w:szCs w:val="23"/>
              </w:rPr>
              <w:t>сутки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4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08C">
              <w:rPr>
                <w:rFonts w:ascii="Times New Roman" w:hAnsi="Times New Roman"/>
                <w:bCs/>
                <w:sz w:val="24"/>
                <w:szCs w:val="24"/>
              </w:rPr>
              <w:t> 8.1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1708C">
              <w:rPr>
                <w:rFonts w:ascii="Times New Roman" w:hAnsi="Times New Roman"/>
                <w:sz w:val="24"/>
                <w:szCs w:val="24"/>
              </w:rPr>
              <w:t xml:space="preserve"> 1 по 15 суток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t>4,32</w:t>
            </w:r>
          </w:p>
        </w:tc>
      </w:tr>
      <w:tr w:rsidR="00A940E6" w:rsidRPr="0040135E" w:rsidTr="00841AD4">
        <w:trPr>
          <w:trHeight w:val="5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8.2.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1708C">
              <w:rPr>
                <w:rFonts w:ascii="Times New Roman" w:hAnsi="Times New Roman"/>
                <w:sz w:val="24"/>
                <w:szCs w:val="24"/>
              </w:rPr>
              <w:t>выше 15 суток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11708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08C">
              <w:rPr>
                <w:rFonts w:ascii="Times New Roman" w:hAnsi="Times New Roman"/>
                <w:b/>
                <w:bCs/>
                <w:sz w:val="24"/>
                <w:szCs w:val="24"/>
              </w:rPr>
              <w:t>5,28</w:t>
            </w:r>
          </w:p>
        </w:tc>
      </w:tr>
      <w:tr w:rsidR="00A940E6" w:rsidRPr="0040135E" w:rsidTr="00841AD4">
        <w:trPr>
          <w:trHeight w:val="3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0E6" w:rsidRPr="00AE40F2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п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ростой вагонов </w:t>
            </w:r>
            <w:r w:rsidRPr="000870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совместного пользования третьих стран, используемых в соответствии с ПГВ</w:t>
            </w:r>
            <w:r w:rsidRPr="00341E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11</w:t>
            </w:r>
            <w:r w:rsidRPr="000870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40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 перегрузке грузов в вагоны ширины колеи 1520 мм;</w:t>
            </w:r>
          </w:p>
          <w:p w:rsidR="00A940E6" w:rsidRPr="00AE40F2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0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 выгрузке грузов из вагонов совместного пользования третьих стран;</w:t>
            </w:r>
          </w:p>
          <w:p w:rsidR="00A940E6" w:rsidRPr="00156238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0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 перегрузке грузов из вагонов ширины колеи 1520 мм в вагоны совместного пользования третьих стран, подсылаемые в порожнем состоянии.</w:t>
            </w:r>
          </w:p>
          <w:p w:rsidR="00A940E6" w:rsidRPr="00156238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перевозках контейнеров 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 xml:space="preserve">данный сбор распределяется пропорционально количеству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контейнеров 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в вагоне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(независимо от длины контейнера)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Сбор за п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ломбирование</w:t>
            </w:r>
          </w:p>
          <w:p w:rsidR="00A940E6" w:rsidRPr="00695AB5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A3A74">
              <w:rPr>
                <w:rFonts w:ascii="Times New Roman" w:hAnsi="Times New Roman"/>
                <w:bCs/>
                <w:sz w:val="24"/>
                <w:szCs w:val="24"/>
              </w:rPr>
              <w:t>ри перегрузке из вагонов одной ширины колеи в вагоны другой ширины колеи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при проведении таможенного досмотра либо других видов контроля; при предоставлении пломб, запорно-пломбировочных устройств таможенным органам или иным контролирующим (надзорным) органам</w:t>
            </w:r>
            <w:r w:rsidRPr="005A3A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33CE8">
              <w:rPr>
                <w:rFonts w:ascii="Times New Roman" w:hAnsi="Times New Roman"/>
                <w:bCs/>
                <w:sz w:val="24"/>
                <w:szCs w:val="24"/>
              </w:rPr>
              <w:t>в целях идентификации вагонов, контейнеров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(с учетом стоимости пломбы, запорно-пломбировочного устройства):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B3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Запорно-пломбировочными 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 xml:space="preserve">устройствами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24,0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10.1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B3E">
              <w:rPr>
                <w:rFonts w:ascii="Times New Roman" w:hAnsi="Times New Roman"/>
                <w:sz w:val="24"/>
                <w:szCs w:val="24"/>
              </w:rPr>
              <w:t>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6346E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346EC">
              <w:rPr>
                <w:rFonts w:ascii="Times New Roman" w:hAnsi="Times New Roman"/>
                <w:bCs/>
                <w:sz w:val="24"/>
                <w:szCs w:val="24"/>
              </w:rPr>
              <w:t>10.2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346EC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ломбами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агон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0870D9">
              <w:rPr>
                <w:rFonts w:ascii="Times New Roman" w:hAnsi="Times New Roman"/>
                <w:color w:val="000000"/>
                <w:sz w:val="23"/>
                <w:szCs w:val="23"/>
              </w:rPr>
              <w:t>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7E72B0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72B0">
              <w:rPr>
                <w:rFonts w:ascii="Times New Roman" w:hAnsi="Times New Roman"/>
                <w:bCs/>
                <w:sz w:val="24"/>
                <w:szCs w:val="24"/>
              </w:rPr>
              <w:t>11.1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Разработка способов размещения и крепления грузов, не предусмотренных правилами перевозок грузов, СМГС (НТУ, МТУ, чертеж, эскиз)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A940E6" w:rsidRPr="0040135E" w:rsidTr="00841AD4">
        <w:trPr>
          <w:trHeight w:val="66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7099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спользование ранее разработанных НТУ, МТУ, чертежа, эскиза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34,0</w:t>
            </w:r>
          </w:p>
        </w:tc>
      </w:tr>
      <w:tr w:rsidR="00A940E6" w:rsidRPr="0040135E" w:rsidTr="00841AD4">
        <w:trPr>
          <w:trHeight w:val="1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 осуществление операций, связанных с выполнением карантинного контроля 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>(сбор взимается при перевозках груза, подлежащего карантинному контролю, независимо от сборов, взыскиваемых органами карантинного контроля)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вагон, 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A940E6" w:rsidRPr="0040135E" w:rsidTr="00841AD4">
        <w:trPr>
          <w:trHeight w:val="14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Нанесение необходимой маркировки об опасности груза (при ее отсутствии) на вагон и контейнер с опасным грузом или вагон, контейнер, следующи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после выгрузки опасных грузов в неочищенном состоянии на условиях ранее перевозимого груза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6E0F5C" w:rsidP="00841AD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вагон, </w:t>
            </w:r>
            <w:r w:rsidR="00A940E6" w:rsidRPr="00EA12FC">
              <w:rPr>
                <w:rFonts w:ascii="Times New Roman" w:hAnsi="Times New Roman"/>
                <w:sz w:val="23"/>
                <w:szCs w:val="23"/>
              </w:rPr>
              <w:t>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857C78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Взвешивание на весах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перевозчика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а вагонных весах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а товарных весах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/>
                <w:sz w:val="23"/>
                <w:szCs w:val="23"/>
              </w:rPr>
              <w:t>онно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-опер</w:t>
            </w:r>
            <w:r>
              <w:rPr>
                <w:rFonts w:ascii="Times New Roman" w:hAnsi="Times New Roman"/>
                <w:sz w:val="23"/>
                <w:szCs w:val="23"/>
              </w:rPr>
              <w:t>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4B5401" w:rsidRDefault="00A940E6" w:rsidP="00841AD4">
            <w:pPr>
              <w:spacing w:after="0" w:line="22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4B5401">
              <w:rPr>
                <w:rFonts w:ascii="Times New Roman" w:hAnsi="Times New Roman"/>
              </w:rPr>
              <w:t xml:space="preserve">40% от стоимости </w:t>
            </w:r>
            <w:r w:rsidRPr="004B5401">
              <w:rPr>
                <w:rFonts w:ascii="Times New Roman" w:hAnsi="Times New Roman"/>
              </w:rPr>
              <w:lastRenderedPageBreak/>
              <w:t>перегруз</w:t>
            </w:r>
            <w:r>
              <w:rPr>
                <w:rFonts w:ascii="Times New Roman" w:hAnsi="Times New Roman"/>
              </w:rPr>
              <w:t>ки</w:t>
            </w:r>
          </w:p>
        </w:tc>
      </w:tr>
      <w:tr w:rsidR="00A940E6" w:rsidRPr="0040135E" w:rsidTr="00841AD4">
        <w:trPr>
          <w:trHeight w:val="30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15.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информирование таможенных органов о грузах, ввозимых на таможенную территорию Таможенного союза (ЭПИ)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14 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или помещение под таможенную процедуру транзитных грузов (декларирование грузов) </w:t>
            </w:r>
          </w:p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рузы в вагон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,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, кроме перечисленных в подпункте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рузы в вагон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,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, следующи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 xml:space="preserve"> маршрутом (группой) по одной накладной:</w:t>
            </w:r>
          </w:p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B3E">
              <w:rPr>
                <w:rFonts w:ascii="Times New Roman" w:hAnsi="Times New Roman"/>
                <w:sz w:val="24"/>
                <w:szCs w:val="24"/>
              </w:rPr>
              <w:t>за первый вагон, контейнер</w:t>
            </w:r>
          </w:p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B3E">
              <w:rPr>
                <w:rFonts w:ascii="Times New Roman" w:hAnsi="Times New Roman"/>
                <w:sz w:val="24"/>
                <w:szCs w:val="24"/>
              </w:rPr>
              <w:t>за каждый последующий вагон, контейнер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отправка</w:t>
            </w: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Default="00A940E6" w:rsidP="00841AD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940E6" w:rsidRPr="00EA12FC" w:rsidRDefault="00A940E6" w:rsidP="00841AD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вагон, контейнер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32,0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32,0</w:t>
            </w:r>
          </w:p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,6</w:t>
            </w:r>
          </w:p>
        </w:tc>
      </w:tr>
      <w:tr w:rsidR="00A940E6" w:rsidRPr="0040135E" w:rsidTr="00841AD4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5030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Подготовка и передача </w:t>
            </w:r>
            <w:r w:rsidR="00503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</w:t>
            </w:r>
            <w:r w:rsidR="0050309C"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железные дороги</w:t>
            </w:r>
            <w:r w:rsidR="00503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0309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Республики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Польша по колее 1520 мм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 погрузку порожнего вагона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03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инвентарного парка (принадлежащего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перевоз</w:t>
            </w:r>
            <w:r w:rsidR="00AE5F38">
              <w:rPr>
                <w:rFonts w:ascii="Times New Roman" w:hAnsi="Times New Roman"/>
                <w:b/>
                <w:bCs/>
                <w:sz w:val="24"/>
                <w:szCs w:val="24"/>
              </w:rPr>
              <w:t>чику</w:t>
            </w:r>
            <w:r w:rsidR="0050309C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205,0</w:t>
            </w:r>
          </w:p>
        </w:tc>
      </w:tr>
      <w:tr w:rsidR="00A940E6" w:rsidRPr="0040135E" w:rsidTr="00841AD4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Обязательное сопровождение 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охраняемых грузов, перемещаемых по территории Республики Беларусь железнодорожным транспортом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0E6" w:rsidRPr="00320B3E" w:rsidRDefault="00A940E6" w:rsidP="00841AD4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320B3E">
              <w:rPr>
                <w:rFonts w:ascii="Times New Roman" w:hAnsi="Times New Roman"/>
                <w:lang w:val="en-US"/>
              </w:rPr>
              <w:t>д</w:t>
            </w:r>
            <w:r w:rsidRPr="00320B3E">
              <w:rPr>
                <w:rFonts w:ascii="Times New Roman" w:hAnsi="Times New Roman"/>
              </w:rPr>
              <w:t>ол</w:t>
            </w:r>
            <w:r>
              <w:rPr>
                <w:rFonts w:ascii="Times New Roman" w:hAnsi="Times New Roman"/>
              </w:rPr>
              <w:t>л</w:t>
            </w:r>
            <w:r w:rsidRPr="00320B3E">
              <w:rPr>
                <w:rFonts w:ascii="Times New Roman" w:hAnsi="Times New Roman"/>
              </w:rPr>
              <w:t xml:space="preserve">.США </w:t>
            </w:r>
          </w:p>
        </w:tc>
      </w:tr>
      <w:tr w:rsidR="00A940E6" w:rsidRPr="0040135E" w:rsidTr="00841AD4">
        <w:trPr>
          <w:trHeight w:val="856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93385A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85A">
              <w:rPr>
                <w:rFonts w:ascii="Times New Roman" w:hAnsi="Times New Roman"/>
                <w:bCs/>
                <w:sz w:val="24"/>
                <w:szCs w:val="24"/>
              </w:rPr>
              <w:t>17.1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B3E">
              <w:rPr>
                <w:rFonts w:ascii="Times New Roman" w:hAnsi="Times New Roman"/>
                <w:sz w:val="24"/>
                <w:szCs w:val="24"/>
              </w:rPr>
              <w:t>одно железнодорожное транспортное средство, используемое для перевозки грузов либо следующ</w:t>
            </w:r>
            <w:r>
              <w:rPr>
                <w:rFonts w:ascii="Times New Roman" w:hAnsi="Times New Roman"/>
                <w:sz w:val="24"/>
                <w:szCs w:val="24"/>
              </w:rPr>
              <w:t>ее как груз на своих осях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за каждые начатые 10 км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0,6</w:t>
            </w:r>
          </w:p>
        </w:tc>
      </w:tr>
      <w:tr w:rsidR="00A940E6" w:rsidRPr="0040135E" w:rsidTr="00841AD4">
        <w:trPr>
          <w:trHeight w:val="39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93385A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85A">
              <w:rPr>
                <w:rFonts w:ascii="Times New Roman" w:hAnsi="Times New Roman"/>
                <w:bCs/>
                <w:sz w:val="24"/>
                <w:szCs w:val="24"/>
              </w:rPr>
              <w:t>17.2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контейнер длиной 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30, 40 футов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0,6</w:t>
            </w:r>
          </w:p>
        </w:tc>
      </w:tr>
      <w:tr w:rsidR="00A940E6" w:rsidRPr="0040135E" w:rsidTr="00841AD4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93385A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85A">
              <w:rPr>
                <w:rFonts w:ascii="Times New Roman" w:hAnsi="Times New Roman"/>
                <w:bCs/>
                <w:sz w:val="24"/>
                <w:szCs w:val="24"/>
              </w:rPr>
              <w:t>17.3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контейнер длиной 10, </w:t>
            </w:r>
            <w:r w:rsidRPr="00320B3E">
              <w:rPr>
                <w:rFonts w:ascii="Times New Roman" w:hAnsi="Times New Roman"/>
                <w:sz w:val="24"/>
                <w:szCs w:val="24"/>
              </w:rPr>
              <w:t>20 футов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0,24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665386" w:rsidRDefault="00A940E6" w:rsidP="00841A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Нахождение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станции </w:t>
            </w:r>
            <w:r w:rsidRPr="00341EF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  <w:r w:rsidRPr="00EB34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,1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0E6" w:rsidRPr="0040135E" w:rsidTr="00841AD4">
        <w:trPr>
          <w:trHeight w:val="36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B51B86" w:rsidRDefault="00A940E6" w:rsidP="00D83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vertAlign w:val="superscript"/>
              </w:rPr>
            </w:pP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>Груженого</w:t>
            </w:r>
            <w:r w:rsidR="00D8320B">
              <w:rPr>
                <w:rFonts w:ascii="Times New Roman" w:hAnsi="Times New Roman"/>
                <w:bCs/>
                <w:sz w:val="24"/>
                <w:szCs w:val="24"/>
              </w:rPr>
              <w:t xml:space="preserve"> приватного 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 xml:space="preserve">вагона </w:t>
            </w:r>
            <w:r w:rsidR="00D8320B">
              <w:rPr>
                <w:rFonts w:ascii="Times New Roman" w:hAnsi="Times New Roman"/>
                <w:bCs/>
                <w:sz w:val="24"/>
                <w:szCs w:val="24"/>
              </w:rPr>
              <w:t>(не принадлежащего перевозчику)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8, 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ваг</w:t>
            </w:r>
            <w:r>
              <w:rPr>
                <w:rFonts w:ascii="Times New Roman" w:hAnsi="Times New Roman"/>
                <w:sz w:val="23"/>
                <w:szCs w:val="23"/>
              </w:rPr>
              <w:t>оно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-сут</w:t>
            </w:r>
            <w:r>
              <w:rPr>
                <w:rFonts w:ascii="Times New Roman" w:hAnsi="Times New Roman"/>
                <w:sz w:val="23"/>
                <w:szCs w:val="23"/>
              </w:rPr>
              <w:t>ки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A940E6" w:rsidRPr="0040135E" w:rsidTr="00841AD4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22355A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355A">
              <w:rPr>
                <w:rFonts w:ascii="Times New Roman" w:hAnsi="Times New Roman"/>
                <w:bCs/>
                <w:sz w:val="24"/>
                <w:szCs w:val="24"/>
              </w:rPr>
              <w:t>18.2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D8320B">
            <w:pPr>
              <w:spacing w:after="0" w:line="24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Груженого метанолом </w:t>
            </w:r>
            <w:r w:rsidR="00D832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приватного </w:t>
            </w: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вагона-цистерны </w:t>
            </w:r>
            <w:r w:rsidR="00D832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(не принадлежащего перевозчику) </w:t>
            </w: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колеи 1520 мм в ожидании перегрузки в вагон-цистерну колеи 1435 мм 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Cs w:val="24"/>
              </w:rPr>
              <w:t>долл.США</w:t>
            </w:r>
            <w:r w:rsidRPr="00B7541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</w:p>
          <w:p w:rsidR="00A940E6" w:rsidRPr="00B75412" w:rsidRDefault="00A940E6" w:rsidP="00841AD4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</w:tr>
      <w:tr w:rsidR="00A940E6" w:rsidRPr="0040135E" w:rsidTr="00841AD4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18.3.</w:t>
            </w:r>
          </w:p>
          <w:p w:rsidR="00A940E6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40E6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40E6" w:rsidRPr="004D67A1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4D67A1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18.3.1.</w:t>
            </w:r>
          </w:p>
          <w:p w:rsidR="00A940E6" w:rsidRPr="004D67A1" w:rsidRDefault="00A940E6" w:rsidP="00841AD4">
            <w:pPr>
              <w:spacing w:after="0" w:line="260" w:lineRule="exact"/>
              <w:jc w:val="center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 w:rsidRPr="004D67A1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18.3.2.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Груженого вагона колеи 1520 мм, задействованного в процессе перегрузки транзитного груза (независимо от принадлежности вагона):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8</w:t>
            </w:r>
          </w:p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вагона длиной до 19 м;</w:t>
            </w:r>
          </w:p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вагона длиной свыше 19 м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exact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Cs w:val="24"/>
              </w:rPr>
              <w:t>долл.США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Cs w:val="24"/>
              </w:rPr>
              <w:t>5,5</w:t>
            </w:r>
          </w:p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Cs w:val="24"/>
              </w:rPr>
              <w:t>7,3</w:t>
            </w:r>
          </w:p>
        </w:tc>
      </w:tr>
      <w:tr w:rsidR="00A940E6" w:rsidRPr="0040135E" w:rsidTr="00841AD4">
        <w:trPr>
          <w:trHeight w:val="4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B51B86" w:rsidRDefault="00A940E6" w:rsidP="00D83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>орожнего</w:t>
            </w:r>
            <w:r w:rsidR="00D8320B">
              <w:rPr>
                <w:rFonts w:ascii="Times New Roman" w:hAnsi="Times New Roman"/>
                <w:bCs/>
                <w:sz w:val="24"/>
                <w:szCs w:val="24"/>
              </w:rPr>
              <w:t xml:space="preserve"> приватного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 xml:space="preserve"> вагона</w:t>
            </w:r>
            <w:r w:rsidR="00D8320B">
              <w:rPr>
                <w:rFonts w:ascii="Times New Roman" w:hAnsi="Times New Roman"/>
                <w:bCs/>
                <w:sz w:val="24"/>
                <w:szCs w:val="24"/>
              </w:rPr>
              <w:t xml:space="preserve"> (не принадлежащего перевозчику)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A940E6" w:rsidRPr="0040135E" w:rsidTr="00841AD4">
        <w:trPr>
          <w:trHeight w:val="4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320B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0F1854" w:rsidRDefault="00A940E6" w:rsidP="006E0F5C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Груженого, 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>порожнего контейнера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отправителя, получателя,</w:t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 xml:space="preserve"> выгруженного из вагона на площадку </w:t>
            </w:r>
            <w:r w:rsidR="0050309C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0F1854">
              <w:rPr>
                <w:rFonts w:ascii="Times New Roman" w:hAnsi="Times New Roman"/>
                <w:bCs/>
                <w:sz w:val="24"/>
                <w:szCs w:val="24"/>
              </w:rPr>
              <w:t>(склад)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D6A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конт</w:t>
            </w:r>
            <w:r>
              <w:rPr>
                <w:rFonts w:ascii="Times New Roman" w:hAnsi="Times New Roman"/>
                <w:sz w:val="23"/>
                <w:szCs w:val="23"/>
              </w:rPr>
              <w:t>ейнеро</w:t>
            </w:r>
            <w:r w:rsidRPr="00EA12FC">
              <w:rPr>
                <w:rFonts w:ascii="Times New Roman" w:hAnsi="Times New Roman"/>
                <w:sz w:val="23"/>
                <w:szCs w:val="23"/>
              </w:rPr>
              <w:t>-сут</w:t>
            </w:r>
            <w:r>
              <w:rPr>
                <w:rFonts w:ascii="Times New Roman" w:hAnsi="Times New Roman"/>
                <w:sz w:val="23"/>
                <w:szCs w:val="23"/>
              </w:rPr>
              <w:t>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Cs w:val="24"/>
              </w:rPr>
              <w:t>дол</w:t>
            </w:r>
            <w:r>
              <w:rPr>
                <w:rFonts w:ascii="Times New Roman" w:hAnsi="Times New Roman"/>
                <w:bCs/>
                <w:szCs w:val="24"/>
              </w:rPr>
              <w:t>л</w:t>
            </w:r>
            <w:r w:rsidRPr="00320B3E">
              <w:rPr>
                <w:rFonts w:ascii="Times New Roman" w:hAnsi="Times New Roman"/>
                <w:bCs/>
                <w:szCs w:val="24"/>
              </w:rPr>
              <w:t>.США</w:t>
            </w:r>
            <w:r w:rsidRPr="00320B3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A940E6" w:rsidRPr="0040135E" w:rsidTr="00841AD4">
        <w:trPr>
          <w:trHeight w:val="7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Default="00A940E6" w:rsidP="00841AD4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19.</w:t>
            </w:r>
          </w:p>
          <w:p w:rsidR="00A940E6" w:rsidRPr="002941C6" w:rsidRDefault="00A940E6" w:rsidP="00841AD4">
            <w:pPr>
              <w:spacing w:after="12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1C6">
              <w:rPr>
                <w:rFonts w:ascii="Times New Roman" w:hAnsi="Times New Roman"/>
                <w:bCs/>
                <w:sz w:val="24"/>
                <w:szCs w:val="24"/>
              </w:rPr>
              <w:t>19.1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Хранение на станции  </w:t>
            </w:r>
          </w:p>
          <w:p w:rsidR="00A940E6" w:rsidRPr="00B75412" w:rsidRDefault="00A940E6" w:rsidP="006E0F5C">
            <w:pPr>
              <w:spacing w:after="0" w:line="240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груза, выгруженного</w:t>
            </w: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 вагона на площадку (склад); груза на своих осях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тонна-сутки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A940E6" w:rsidRPr="0040135E" w:rsidTr="00841AD4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2941C6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1C6">
              <w:rPr>
                <w:rFonts w:ascii="Times New Roman" w:hAnsi="Times New Roman"/>
                <w:bCs/>
                <w:sz w:val="24"/>
                <w:szCs w:val="24"/>
              </w:rPr>
              <w:t>19.2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D832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груза, выгруженного из вагона на площадку (склад)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A940E6" w:rsidRPr="0040135E" w:rsidTr="00841AD4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8B0C38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договора перевозки (переадресовка)</w:t>
            </w:r>
            <w:r w:rsidRPr="00665386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отправка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Розыск груза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12FC">
              <w:rPr>
                <w:rFonts w:ascii="Times New Roman" w:hAnsi="Times New Roman"/>
                <w:sz w:val="23"/>
                <w:szCs w:val="23"/>
              </w:rPr>
              <w:t>отправка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5C17F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7F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22</w:t>
            </w:r>
            <w:r w:rsidRPr="005C17F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40E6" w:rsidRPr="008874B9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C17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Формирование маршрута (группы вагонов) </w:t>
            </w:r>
            <w:r w:rsidRPr="003C6374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17,21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маршрут (группа)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B3E">
              <w:rPr>
                <w:rFonts w:ascii="Times New Roman" w:hAnsi="Times New Roman"/>
                <w:bCs/>
                <w:szCs w:val="24"/>
              </w:rPr>
              <w:t>дол</w:t>
            </w:r>
            <w:r>
              <w:rPr>
                <w:rFonts w:ascii="Times New Roman" w:hAnsi="Times New Roman"/>
                <w:bCs/>
                <w:szCs w:val="24"/>
              </w:rPr>
              <w:t>л</w:t>
            </w:r>
            <w:r w:rsidRPr="00320B3E">
              <w:rPr>
                <w:rFonts w:ascii="Times New Roman" w:hAnsi="Times New Roman"/>
                <w:bCs/>
                <w:szCs w:val="24"/>
              </w:rPr>
              <w:t>.США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8874B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4B9">
              <w:rPr>
                <w:rFonts w:ascii="Times New Roman" w:hAnsi="Times New Roman"/>
                <w:bCs/>
                <w:sz w:val="24"/>
                <w:szCs w:val="24"/>
              </w:rPr>
              <w:t>22.1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8874B9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4B9">
              <w:rPr>
                <w:rFonts w:ascii="Times New Roman" w:hAnsi="Times New Roman"/>
                <w:color w:val="000000"/>
                <w:sz w:val="24"/>
                <w:szCs w:val="24"/>
              </w:rPr>
              <w:t>До 15 вагонов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324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8874B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4B9">
              <w:rPr>
                <w:rFonts w:ascii="Times New Roman" w:hAnsi="Times New Roman"/>
                <w:bCs/>
                <w:sz w:val="24"/>
                <w:szCs w:val="24"/>
              </w:rPr>
              <w:t>22.2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8874B9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4B9">
              <w:rPr>
                <w:rFonts w:ascii="Times New Roman" w:hAnsi="Times New Roman"/>
                <w:color w:val="000000"/>
                <w:sz w:val="24"/>
                <w:szCs w:val="24"/>
              </w:rPr>
              <w:t>15 и более вагонов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391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8874B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4B9">
              <w:rPr>
                <w:rFonts w:ascii="Times New Roman" w:hAnsi="Times New Roman"/>
                <w:bCs/>
                <w:sz w:val="24"/>
                <w:szCs w:val="24"/>
              </w:rPr>
              <w:t>22.3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8874B9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4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15 вагонов с постановкой вагона для проезда проводников 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8874B9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4B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22.4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8874B9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4B9">
              <w:rPr>
                <w:rFonts w:ascii="Times New Roman" w:hAnsi="Times New Roman"/>
                <w:color w:val="000000"/>
                <w:sz w:val="24"/>
                <w:szCs w:val="24"/>
              </w:rPr>
              <w:t>15 и более вагонов с постановкой вагона для проезда проводников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EA12FC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320B3E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431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5C17F2" w:rsidRDefault="00A940E6" w:rsidP="00841AD4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5C1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Формирование контейнерного поезда </w:t>
            </w: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 xml:space="preserve"> 17, 22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поезд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Cs w:val="24"/>
              </w:rPr>
              <w:t>долл.США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357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BF6D2D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6D2D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3522CF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6D2D">
              <w:rPr>
                <w:rFonts w:ascii="Times New Roman" w:hAnsi="Times New Roman"/>
                <w:b/>
                <w:bCs/>
                <w:sz w:val="24"/>
                <w:szCs w:val="24"/>
              </w:rPr>
              <w:t>Сканирование и передача по электронной почте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F6D2D">
              <w:rPr>
                <w:rFonts w:ascii="Times New Roman" w:hAnsi="Times New Roman"/>
                <w:b/>
                <w:bCs/>
                <w:sz w:val="24"/>
                <w:szCs w:val="24"/>
              </w:rPr>
              <w:t>перевозочных, сопрово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дительных</w:t>
            </w:r>
            <w:r w:rsidRPr="00BF6D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других документов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7208BB" w:rsidRDefault="00A940E6" w:rsidP="00A25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08BB">
              <w:rPr>
                <w:rFonts w:ascii="Times New Roman" w:hAnsi="Times New Roman"/>
              </w:rPr>
              <w:t>1 копия за  1 страницу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F6D2D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6D2D">
              <w:rPr>
                <w:rFonts w:ascii="Times New Roman" w:hAnsi="Times New Roman"/>
                <w:b/>
                <w:bCs/>
                <w:sz w:val="24"/>
                <w:szCs w:val="24"/>
              </w:rPr>
              <w:t>0,9</w:t>
            </w:r>
          </w:p>
        </w:tc>
      </w:tr>
      <w:tr w:rsidR="00A940E6" w:rsidRPr="0040135E" w:rsidTr="00841AD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BF6D2D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6D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Подбор вагонов, контейнеров для погрузки или отправления по конкретным характеристикам вагона и п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араметрам, указанным в заявке, </w:t>
            </w: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том числе для их постановки в маршрут (группу вагонов), контейнерный поезд</w:t>
            </w: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 xml:space="preserve"> 17, 23, 24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75412">
              <w:rPr>
                <w:rFonts w:ascii="Times New Roman" w:hAnsi="Times New Roman"/>
                <w:color w:val="000000"/>
                <w:sz w:val="23"/>
                <w:szCs w:val="23"/>
              </w:rPr>
              <w:t>вагон, контейнер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Cs/>
                <w:color w:val="000000"/>
                <w:szCs w:val="24"/>
              </w:rPr>
              <w:t>долл.США</w:t>
            </w:r>
            <w:r w:rsidRPr="00B7541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10</w:t>
            </w: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A940E6" w:rsidRPr="0040135E" w:rsidTr="00841AD4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0E6" w:rsidRPr="00BF6D2D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6D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exac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</w:pP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 маневровую работу, выполняемую локомотивом перевозчика, при задержке вагона или контейнера на транзитной железной дороге</w:t>
            </w:r>
            <w:r w:rsidRPr="00B7541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 xml:space="preserve">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6" w:rsidRPr="00B75412" w:rsidRDefault="00A940E6" w:rsidP="00841AD4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B75412">
              <w:rPr>
                <w:rFonts w:ascii="Times New Roman" w:hAnsi="Times New Roman"/>
                <w:color w:val="000000"/>
              </w:rPr>
              <w:t>за каждые полчаса маневровой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0E6" w:rsidRPr="00B75412" w:rsidRDefault="00A940E6" w:rsidP="00841A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</w:tbl>
    <w:p w:rsidR="00A940E6" w:rsidRPr="005A3A74" w:rsidRDefault="00A940E6" w:rsidP="00A940E6">
      <w:pPr>
        <w:suppressAutoHyphens/>
        <w:spacing w:after="0" w:line="280" w:lineRule="exact"/>
        <w:jc w:val="both"/>
        <w:rPr>
          <w:rFonts w:ascii="Times New Roman" w:hAnsi="Times New Roman"/>
          <w:b/>
          <w:color w:val="000000"/>
          <w:lang w:val="uk-UA"/>
        </w:rPr>
      </w:pPr>
      <w:r w:rsidRPr="005A3A74">
        <w:rPr>
          <w:rFonts w:ascii="Times New Roman" w:hAnsi="Times New Roman"/>
          <w:color w:val="000000"/>
        </w:rPr>
        <w:t>Примечание:</w:t>
      </w:r>
    </w:p>
    <w:p w:rsidR="00A940E6" w:rsidRPr="00B75412" w:rsidRDefault="00A940E6" w:rsidP="00A940E6">
      <w:pPr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D47C1F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</w:t>
      </w:r>
      <w:r w:rsidRPr="00B75412">
        <w:rPr>
          <w:rFonts w:ascii="Times New Roman" w:hAnsi="Times New Roman"/>
          <w:color w:val="000000"/>
          <w:sz w:val="21"/>
          <w:szCs w:val="21"/>
        </w:rPr>
        <w:t>В случае перегрузки груза с выгрузкой на площадку (склад) по причинам, зависящим от отправителя (получателя), сбор за перегрузку взимается один раз по ставкам, указанным в пунктах 1.1</w:t>
      </w:r>
      <w:r>
        <w:rPr>
          <w:rFonts w:ascii="Times New Roman" w:hAnsi="Times New Roman"/>
          <w:color w:val="000000"/>
          <w:sz w:val="21"/>
          <w:szCs w:val="21"/>
        </w:rPr>
        <w:t xml:space="preserve"> – </w:t>
      </w:r>
      <w:r w:rsidRPr="00B75412">
        <w:rPr>
          <w:rFonts w:ascii="Times New Roman" w:hAnsi="Times New Roman"/>
          <w:color w:val="000000"/>
          <w:sz w:val="21"/>
          <w:szCs w:val="21"/>
        </w:rPr>
        <w:t>1.7 с применением коэффициента 1,4.</w:t>
      </w:r>
    </w:p>
    <w:p w:rsidR="00A940E6" w:rsidRPr="00B75412" w:rsidRDefault="00A940E6" w:rsidP="00A940E6">
      <w:pPr>
        <w:spacing w:after="0" w:line="240" w:lineRule="exact"/>
        <w:ind w:firstLine="709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2</w:t>
      </w:r>
      <w:r w:rsidRPr="00B75412">
        <w:rPr>
          <w:rFonts w:ascii="Times New Roman" w:hAnsi="Times New Roman"/>
          <w:color w:val="000000"/>
          <w:sz w:val="21"/>
          <w:szCs w:val="21"/>
        </w:rPr>
        <w:t>Сбор начисляется в случаях перегруза грузов в/из вагонов одной ширины колеи.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3</w:t>
      </w:r>
      <w:r w:rsidRPr="00B75412">
        <w:rPr>
          <w:rFonts w:ascii="Times New Roman" w:hAnsi="Times New Roman"/>
          <w:color w:val="000000"/>
          <w:sz w:val="21"/>
          <w:szCs w:val="21"/>
        </w:rPr>
        <w:t>В ставке сбора содержится плата за хранение тележек колеи 1520 мм, не принадлежащих перевозчику.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4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Сбор не применяется при перевозке порожнего </w:t>
      </w:r>
      <w:r w:rsidR="00D8320B">
        <w:rPr>
          <w:rFonts w:ascii="Times New Roman" w:hAnsi="Times New Roman"/>
          <w:color w:val="000000"/>
          <w:sz w:val="21"/>
          <w:szCs w:val="21"/>
        </w:rPr>
        <w:t xml:space="preserve">приватного </w:t>
      </w:r>
      <w:r w:rsidRPr="00B75412">
        <w:rPr>
          <w:rFonts w:ascii="Times New Roman" w:hAnsi="Times New Roman"/>
          <w:color w:val="000000"/>
          <w:sz w:val="21"/>
          <w:szCs w:val="21"/>
        </w:rPr>
        <w:t>вагона</w:t>
      </w:r>
      <w:r w:rsidR="00D72B6D">
        <w:rPr>
          <w:rFonts w:ascii="Times New Roman" w:hAnsi="Times New Roman"/>
          <w:color w:val="000000"/>
          <w:sz w:val="21"/>
          <w:szCs w:val="21"/>
        </w:rPr>
        <w:t xml:space="preserve"> (</w:t>
      </w:r>
      <w:r w:rsidR="00D8320B">
        <w:rPr>
          <w:rFonts w:ascii="Times New Roman" w:hAnsi="Times New Roman"/>
          <w:color w:val="000000"/>
          <w:sz w:val="21"/>
          <w:szCs w:val="21"/>
        </w:rPr>
        <w:t>не принадлежащего перевозчику)</w:t>
      </w:r>
      <w:r w:rsidRPr="00B75412">
        <w:rPr>
          <w:rFonts w:ascii="Times New Roman" w:hAnsi="Times New Roman"/>
          <w:color w:val="000000"/>
          <w:sz w:val="21"/>
          <w:szCs w:val="21"/>
        </w:rPr>
        <w:t>, контейнера отправителя, получателя</w:t>
      </w:r>
      <w:r>
        <w:rPr>
          <w:rFonts w:ascii="Times New Roman" w:hAnsi="Times New Roman"/>
          <w:color w:val="000000"/>
          <w:sz w:val="21"/>
          <w:szCs w:val="21"/>
        </w:rPr>
        <w:t>; дизель-</w:t>
      </w:r>
      <w:r w:rsidRPr="00B75412">
        <w:rPr>
          <w:rFonts w:ascii="Times New Roman" w:hAnsi="Times New Roman"/>
          <w:color w:val="000000"/>
          <w:sz w:val="21"/>
          <w:szCs w:val="21"/>
        </w:rPr>
        <w:t>генераторного вагона (принадлежащего перевозчику); при проезде проводников в отдельном вагоне (независимо от принадлежности вагона).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  <w:lang w:val="uk-UA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5</w:t>
      </w:r>
      <w:r w:rsidRPr="00B75412">
        <w:rPr>
          <w:rFonts w:ascii="Times New Roman" w:hAnsi="Times New Roman"/>
          <w:color w:val="000000"/>
          <w:sz w:val="21"/>
          <w:szCs w:val="21"/>
        </w:rPr>
        <w:t>Сбор включает, в том числе расходы перевозчика по предоставлению средств крепления, прокладочных материалов, подготовке вагона колеи 1520 мм при перегрузке груза из вагона одной ширины колеи в вагон другой ширины колеи (независимо от грузоподъемности и типа вагона).</w:t>
      </w:r>
    </w:p>
    <w:p w:rsidR="00A940E6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6</w:t>
      </w:r>
      <w:r>
        <w:rPr>
          <w:rFonts w:ascii="Times New Roman" w:hAnsi="Times New Roman"/>
          <w:color w:val="000000"/>
          <w:sz w:val="21"/>
          <w:szCs w:val="21"/>
        </w:rPr>
        <w:t>В случае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если один или несколько из следующих в вагоне контейнеров выгружаются из вагона и задерживаются отдельно от него, плата за их задержку исчисляется по ставкам, указанным в пункте 6.4</w:t>
      </w:r>
      <w:r>
        <w:rPr>
          <w:rFonts w:ascii="Times New Roman" w:hAnsi="Times New Roman"/>
          <w:color w:val="000000"/>
          <w:sz w:val="21"/>
          <w:szCs w:val="21"/>
        </w:rPr>
        <w:t xml:space="preserve"> – </w:t>
      </w:r>
    </w:p>
    <w:p w:rsidR="00A940E6" w:rsidRPr="00B75412" w:rsidRDefault="00A940E6" w:rsidP="00A940E6">
      <w:pPr>
        <w:suppressAutoHyphens/>
        <w:spacing w:after="0" w:line="240" w:lineRule="exact"/>
        <w:jc w:val="both"/>
        <w:rPr>
          <w:rFonts w:ascii="Times New Roman" w:hAnsi="Times New Roman"/>
          <w:b/>
          <w:color w:val="000000"/>
          <w:sz w:val="21"/>
          <w:szCs w:val="21"/>
          <w:lang w:val="uk-UA"/>
        </w:rPr>
      </w:pPr>
      <w:r w:rsidRPr="00B75412">
        <w:rPr>
          <w:rFonts w:ascii="Times New Roman" w:hAnsi="Times New Roman"/>
          <w:color w:val="000000"/>
          <w:sz w:val="21"/>
          <w:szCs w:val="21"/>
        </w:rPr>
        <w:t>6.6. В остальных случаях плата за задержку контейнера исчисляется по ставкам, указанным в пункте 6.1 или 6.2.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  <w:lang w:val="uk-UA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7</w:t>
      </w:r>
      <w:r w:rsidRPr="00B75412">
        <w:rPr>
          <w:rFonts w:ascii="Times New Roman" w:hAnsi="Times New Roman"/>
          <w:color w:val="000000"/>
          <w:sz w:val="21"/>
          <w:szCs w:val="21"/>
        </w:rPr>
        <w:t>Ставки приведены для вагона</w:t>
      </w:r>
      <w:r w:rsidR="00D8320B">
        <w:rPr>
          <w:rFonts w:ascii="Times New Roman" w:hAnsi="Times New Roman"/>
          <w:color w:val="000000"/>
          <w:sz w:val="21"/>
          <w:szCs w:val="21"/>
        </w:rPr>
        <w:t xml:space="preserve"> инвентарного парка (принадлежащего перевозчику)</w:t>
      </w:r>
      <w:r w:rsidRPr="00B75412">
        <w:rPr>
          <w:rFonts w:ascii="Times New Roman" w:hAnsi="Times New Roman"/>
          <w:color w:val="000000"/>
          <w:sz w:val="21"/>
          <w:szCs w:val="21"/>
        </w:rPr>
        <w:t>, контейнера перевозчик</w:t>
      </w:r>
      <w:r w:rsidR="00D8320B">
        <w:rPr>
          <w:rFonts w:ascii="Times New Roman" w:hAnsi="Times New Roman"/>
          <w:color w:val="000000"/>
          <w:sz w:val="21"/>
          <w:szCs w:val="21"/>
        </w:rPr>
        <w:t>а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. При задержке </w:t>
      </w:r>
      <w:r w:rsidR="00D8320B">
        <w:rPr>
          <w:rFonts w:ascii="Times New Roman" w:hAnsi="Times New Roman"/>
          <w:color w:val="000000"/>
          <w:sz w:val="21"/>
          <w:szCs w:val="21"/>
        </w:rPr>
        <w:t xml:space="preserve">приватного 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вагона </w:t>
      </w:r>
      <w:r w:rsidR="00D8320B">
        <w:rPr>
          <w:rFonts w:ascii="Times New Roman" w:hAnsi="Times New Roman"/>
          <w:color w:val="000000"/>
          <w:sz w:val="21"/>
          <w:szCs w:val="21"/>
        </w:rPr>
        <w:t xml:space="preserve">(не принадлежащего перевозчику) </w:t>
      </w:r>
      <w:r w:rsidRPr="00B75412">
        <w:rPr>
          <w:rFonts w:ascii="Times New Roman" w:hAnsi="Times New Roman"/>
          <w:color w:val="000000"/>
          <w:sz w:val="21"/>
          <w:szCs w:val="21"/>
        </w:rPr>
        <w:t>(груженого, порожнего); контейнера отправителя, получателя (груженого, порожнего) плата исчисляется с применением коэффициента 0,5.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  <w:lang w:val="uk-UA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8</w:t>
      </w:r>
      <w:r w:rsidRPr="00B75412">
        <w:rPr>
          <w:rFonts w:ascii="Times New Roman" w:hAnsi="Times New Roman"/>
          <w:color w:val="000000"/>
          <w:sz w:val="21"/>
          <w:szCs w:val="21"/>
        </w:rPr>
        <w:t>В ставках сбора содержится плата за хранение груза.</w:t>
      </w:r>
    </w:p>
    <w:p w:rsidR="00A940E6" w:rsidRPr="00B75412" w:rsidRDefault="00A940E6" w:rsidP="00A940E6">
      <w:pPr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9</w:t>
      </w:r>
      <w:r w:rsidRPr="00B75412">
        <w:rPr>
          <w:rFonts w:ascii="Times New Roman" w:hAnsi="Times New Roman"/>
          <w:color w:val="000000"/>
          <w:sz w:val="21"/>
          <w:szCs w:val="21"/>
        </w:rPr>
        <w:t>При исчислении сбора (платы), указанного в пунктах 6, 18</w:t>
      </w:r>
      <w:r>
        <w:rPr>
          <w:rFonts w:ascii="Times New Roman" w:hAnsi="Times New Roman"/>
          <w:color w:val="000000"/>
          <w:sz w:val="21"/>
          <w:szCs w:val="21"/>
        </w:rPr>
        <w:t>,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неполны</w:t>
      </w:r>
      <w:r>
        <w:rPr>
          <w:rFonts w:ascii="Times New Roman" w:hAnsi="Times New Roman"/>
          <w:color w:val="000000"/>
          <w:sz w:val="21"/>
          <w:szCs w:val="21"/>
        </w:rPr>
        <w:t xml:space="preserve">й час (сутки) задержки вагона </w:t>
      </w:r>
      <w:r w:rsidRPr="00B75412">
        <w:rPr>
          <w:rFonts w:ascii="Times New Roman" w:hAnsi="Times New Roman"/>
          <w:color w:val="000000"/>
          <w:sz w:val="21"/>
          <w:szCs w:val="21"/>
        </w:rPr>
        <w:t>или контейнера принимается за полный.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  <w:lang w:val="uk-UA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10</w:t>
      </w:r>
      <w:r w:rsidRPr="00B75412">
        <w:rPr>
          <w:rFonts w:ascii="Times New Roman" w:hAnsi="Times New Roman"/>
          <w:color w:val="000000"/>
          <w:sz w:val="21"/>
          <w:szCs w:val="21"/>
        </w:rPr>
        <w:t>При пользовании тележками свыше 15 суток сбор определяется суммированием плат до 15 суток и свыше 15 суток.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color w:val="000000"/>
          <w:sz w:val="21"/>
          <w:szCs w:val="21"/>
        </w:rPr>
        <w:t xml:space="preserve">При расчете платы за пользование тележками при перестановке </w:t>
      </w:r>
      <w:r w:rsidR="002873BA">
        <w:rPr>
          <w:rFonts w:ascii="Times New Roman" w:hAnsi="Times New Roman"/>
          <w:color w:val="000000"/>
          <w:sz w:val="21"/>
          <w:szCs w:val="21"/>
        </w:rPr>
        <w:t xml:space="preserve">приватного </w:t>
      </w:r>
      <w:r w:rsidRPr="00B75412">
        <w:rPr>
          <w:rFonts w:ascii="Times New Roman" w:hAnsi="Times New Roman"/>
          <w:color w:val="000000"/>
          <w:sz w:val="21"/>
          <w:szCs w:val="21"/>
        </w:rPr>
        <w:t>вагона</w:t>
      </w:r>
      <w:r w:rsidR="002873BA">
        <w:rPr>
          <w:rFonts w:ascii="Times New Roman" w:hAnsi="Times New Roman"/>
          <w:color w:val="000000"/>
          <w:sz w:val="21"/>
          <w:szCs w:val="21"/>
        </w:rPr>
        <w:t xml:space="preserve"> (не принадлежащего перевозчику)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время пользования тележками колеи 1435 мм исчисляется с момента передачи вагона на ПКП и до момента приема вагона с ПКП согласно вагонным ведомостям. При задержке </w:t>
      </w:r>
      <w:r w:rsidR="002873BA">
        <w:rPr>
          <w:rFonts w:ascii="Times New Roman" w:hAnsi="Times New Roman"/>
          <w:color w:val="000000"/>
          <w:sz w:val="21"/>
          <w:szCs w:val="21"/>
        </w:rPr>
        <w:t xml:space="preserve">приватного 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вагона </w:t>
      </w:r>
      <w:r w:rsidR="002873BA">
        <w:rPr>
          <w:rFonts w:ascii="Times New Roman" w:hAnsi="Times New Roman"/>
          <w:color w:val="000000"/>
          <w:sz w:val="21"/>
          <w:szCs w:val="21"/>
        </w:rPr>
        <w:t>(не принадлежащего перевозчику)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, переставленного на тележки колеи 1435 мм, по причинам, не зависящим от перевозчика, время пользования тележками исчисляется </w:t>
      </w:r>
      <w:r>
        <w:rPr>
          <w:rFonts w:ascii="Times New Roman" w:hAnsi="Times New Roman"/>
          <w:color w:val="000000"/>
          <w:sz w:val="21"/>
          <w:szCs w:val="21"/>
        </w:rPr>
        <w:t xml:space="preserve">за время </w:t>
      </w:r>
      <w:r w:rsidRPr="00B75412">
        <w:rPr>
          <w:rFonts w:ascii="Times New Roman" w:hAnsi="Times New Roman"/>
          <w:color w:val="000000"/>
          <w:sz w:val="21"/>
          <w:szCs w:val="21"/>
        </w:rPr>
        <w:t>задержки вагона до момента решения вопросов, связанных с его задержкой согласно</w:t>
      </w:r>
      <w:r>
        <w:rPr>
          <w:rFonts w:ascii="Times New Roman" w:hAnsi="Times New Roman"/>
          <w:color w:val="000000"/>
          <w:sz w:val="21"/>
          <w:szCs w:val="21"/>
        </w:rPr>
        <w:t xml:space="preserve"> оформленным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актам общей формы.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11</w:t>
      </w:r>
      <w:r w:rsidRPr="00B75412">
        <w:rPr>
          <w:rFonts w:ascii="Times New Roman" w:hAnsi="Times New Roman"/>
          <w:color w:val="000000"/>
          <w:sz w:val="21"/>
          <w:szCs w:val="21"/>
        </w:rPr>
        <w:t>Сбор начисляется на основании отметки «П» в графе накладной СМГС «вагон предоставлен».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12</w:t>
      </w:r>
      <w:r w:rsidRPr="00B75412">
        <w:rPr>
          <w:rFonts w:ascii="Times New Roman" w:hAnsi="Times New Roman"/>
          <w:bCs/>
          <w:color w:val="000000"/>
          <w:sz w:val="21"/>
          <w:szCs w:val="21"/>
        </w:rPr>
        <w:t>Сбор не применяется при перегрузке контейнеров из вагонов одной ширины колеи в вагоны другой ширины колеи.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13</w:t>
      </w:r>
      <w:r w:rsidRPr="00B75412">
        <w:rPr>
          <w:rFonts w:ascii="Times New Roman" w:hAnsi="Times New Roman"/>
          <w:color w:val="000000"/>
          <w:sz w:val="21"/>
          <w:szCs w:val="21"/>
        </w:rPr>
        <w:t>Сбор начисляется за вагон груженый,</w:t>
      </w:r>
      <w:r w:rsidR="002873BA">
        <w:rPr>
          <w:rFonts w:ascii="Times New Roman" w:hAnsi="Times New Roman"/>
          <w:color w:val="000000"/>
          <w:sz w:val="21"/>
          <w:szCs w:val="21"/>
        </w:rPr>
        <w:t xml:space="preserve"> приватный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порожний </w:t>
      </w:r>
      <w:r w:rsidR="002873BA">
        <w:rPr>
          <w:rFonts w:ascii="Times New Roman" w:hAnsi="Times New Roman"/>
          <w:color w:val="000000"/>
          <w:sz w:val="21"/>
          <w:szCs w:val="21"/>
        </w:rPr>
        <w:t>(не принадлежащий перевозчику)</w:t>
      </w:r>
      <w:r w:rsidRPr="00B75412">
        <w:rPr>
          <w:rFonts w:ascii="Times New Roman" w:hAnsi="Times New Roman"/>
          <w:color w:val="000000"/>
          <w:sz w:val="21"/>
          <w:szCs w:val="21"/>
        </w:rPr>
        <w:t>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14</w:t>
      </w:r>
      <w:r w:rsidRPr="00B75412">
        <w:rPr>
          <w:rFonts w:ascii="Times New Roman" w:hAnsi="Times New Roman"/>
          <w:color w:val="000000"/>
          <w:sz w:val="21"/>
          <w:szCs w:val="21"/>
        </w:rPr>
        <w:t>При представлении ЭПИ заинтересованным лицом в электронном виде в ф</w:t>
      </w:r>
      <w:r>
        <w:rPr>
          <w:rFonts w:ascii="Times New Roman" w:hAnsi="Times New Roman"/>
          <w:color w:val="000000"/>
          <w:sz w:val="21"/>
          <w:szCs w:val="21"/>
        </w:rPr>
        <w:t>ормате и структуре, определяемыми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таможенным органом, через соответствующий Интернет-портал сбор исчисляется с применением к ставкам коэффициента 0,9.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15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Сбор не начисляется при использовании под погрузку на станциях железных дорог Республики Польша вагона колеи 1520 мм, освободившегося после выгрузки (сдвоенные операции).  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lastRenderedPageBreak/>
        <w:t>16</w:t>
      </w:r>
      <w:r w:rsidRPr="00B75412">
        <w:rPr>
          <w:rFonts w:ascii="Times New Roman" w:hAnsi="Times New Roman"/>
          <w:color w:val="000000"/>
          <w:sz w:val="21"/>
          <w:szCs w:val="21"/>
        </w:rPr>
        <w:t>Тарифы установлены постановлением Совета Министров Р</w:t>
      </w:r>
      <w:r w:rsidR="00480FDA">
        <w:rPr>
          <w:rFonts w:ascii="Times New Roman" w:hAnsi="Times New Roman"/>
          <w:color w:val="000000"/>
          <w:sz w:val="21"/>
          <w:szCs w:val="21"/>
        </w:rPr>
        <w:t>еспублики Беларусь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от 04.07.2006 №</w:t>
      </w:r>
      <w:r w:rsidR="00C45CC2">
        <w:rPr>
          <w:rFonts w:ascii="Times New Roman" w:hAnsi="Times New Roman"/>
          <w:color w:val="000000"/>
          <w:sz w:val="21"/>
          <w:szCs w:val="21"/>
        </w:rPr>
        <w:t> </w:t>
      </w:r>
      <w:r w:rsidRPr="00B75412">
        <w:rPr>
          <w:rFonts w:ascii="Times New Roman" w:hAnsi="Times New Roman"/>
          <w:color w:val="000000"/>
          <w:sz w:val="21"/>
          <w:szCs w:val="21"/>
        </w:rPr>
        <w:t>829. Список грузов, подлежащих обязательному сопровождению, определяется Белорусской железной дорогой в соответствии с законодательством.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17</w:t>
      </w:r>
      <w:r w:rsidRPr="00B75412">
        <w:rPr>
          <w:rFonts w:ascii="Times New Roman" w:hAnsi="Times New Roman"/>
          <w:bCs/>
          <w:color w:val="000000"/>
          <w:sz w:val="21"/>
          <w:szCs w:val="21"/>
        </w:rPr>
        <w:t xml:space="preserve">Сборы, оказываемые по заявке отправителя, получателя, плательщика по территории Республики Беларусь, оператора контейнерного поезда в соответствии с договорами, заключенными с </w:t>
      </w:r>
      <w:r w:rsidR="002873BA">
        <w:rPr>
          <w:rFonts w:ascii="Times New Roman" w:hAnsi="Times New Roman"/>
          <w:bCs/>
          <w:color w:val="000000"/>
          <w:sz w:val="21"/>
          <w:szCs w:val="21"/>
        </w:rPr>
        <w:br/>
      </w:r>
      <w:r w:rsidRPr="00B75412">
        <w:rPr>
          <w:rFonts w:ascii="Times New Roman" w:hAnsi="Times New Roman"/>
          <w:bCs/>
          <w:color w:val="000000"/>
          <w:sz w:val="21"/>
          <w:szCs w:val="21"/>
        </w:rPr>
        <w:t>УП «Барановичское отделение Белорусской железной дороги», РУП «Брестское отделение Бел.ж.д.».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18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Сбор не применяется к вагонам, задействованным в процессе перегрузки грузов организациями Белорусской железной дороги, в соответствии с договорами, заключенными с </w:t>
      </w:r>
      <w:r w:rsidRPr="00B75412">
        <w:rPr>
          <w:rFonts w:ascii="Times New Roman" w:hAnsi="Times New Roman"/>
          <w:bCs/>
          <w:color w:val="000000"/>
          <w:sz w:val="21"/>
          <w:szCs w:val="21"/>
        </w:rPr>
        <w:t>УП «Барановичское отделение Белорусской железной дороги», РУП «Брестское отделение Бел.ж.д.».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  <w:u w:val="single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19</w:t>
      </w:r>
      <w:r w:rsidRPr="00B75412">
        <w:rPr>
          <w:rFonts w:ascii="Times New Roman" w:hAnsi="Times New Roman"/>
          <w:color w:val="000000"/>
          <w:sz w:val="21"/>
          <w:szCs w:val="21"/>
        </w:rPr>
        <w:t>Сбор за нахождение груженого и порожнего контейнера отправителя, получателя</w:t>
      </w:r>
      <w:r w:rsidRPr="00B75412">
        <w:rPr>
          <w:rFonts w:ascii="Times New Roman" w:hAnsi="Times New Roman"/>
          <w:bCs/>
          <w:color w:val="000000"/>
          <w:sz w:val="21"/>
          <w:szCs w:val="21"/>
        </w:rPr>
        <w:t xml:space="preserve"> </w:t>
      </w:r>
      <w:r w:rsidRPr="00B75412">
        <w:rPr>
          <w:rFonts w:ascii="Times New Roman" w:hAnsi="Times New Roman"/>
          <w:color w:val="000000"/>
          <w:sz w:val="21"/>
          <w:szCs w:val="21"/>
        </w:rPr>
        <w:t>начисляется с третьих суток с момента выгрузки.</w:t>
      </w:r>
    </w:p>
    <w:p w:rsidR="00A940E6" w:rsidRPr="00B75412" w:rsidRDefault="00A940E6" w:rsidP="00A940E6">
      <w:pPr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bCs/>
          <w:color w:val="000000"/>
          <w:sz w:val="21"/>
          <w:szCs w:val="21"/>
          <w:vertAlign w:val="superscript"/>
        </w:rPr>
        <w:t>20</w:t>
      </w:r>
      <w:r w:rsidRPr="00B75412">
        <w:rPr>
          <w:rFonts w:ascii="Times New Roman" w:hAnsi="Times New Roman"/>
          <w:color w:val="000000"/>
          <w:sz w:val="21"/>
          <w:szCs w:val="21"/>
        </w:rPr>
        <w:t>Сборы по пунктам 6, 18 и 19 не начисляются.</w:t>
      </w:r>
    </w:p>
    <w:p w:rsidR="00A940E6" w:rsidRPr="00B75412" w:rsidRDefault="00A940E6" w:rsidP="00A940E6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21</w:t>
      </w:r>
      <w:r w:rsidRPr="00B75412">
        <w:rPr>
          <w:rFonts w:ascii="Times New Roman" w:hAnsi="Times New Roman"/>
          <w:color w:val="000000"/>
          <w:sz w:val="21"/>
          <w:szCs w:val="21"/>
        </w:rPr>
        <w:t>При начислении сбора за задержку предоставляется неоплачиваемое технологическое время – 24</w:t>
      </w:r>
      <w:r w:rsidR="002873BA">
        <w:rPr>
          <w:rFonts w:ascii="Times New Roman" w:hAnsi="Times New Roman"/>
          <w:color w:val="000000"/>
          <w:sz w:val="21"/>
          <w:szCs w:val="21"/>
        </w:rPr>
        <w:t> </w:t>
      </w:r>
      <w:r w:rsidRPr="00B75412">
        <w:rPr>
          <w:rFonts w:ascii="Times New Roman" w:hAnsi="Times New Roman"/>
          <w:color w:val="000000"/>
          <w:sz w:val="21"/>
          <w:szCs w:val="21"/>
        </w:rPr>
        <w:t>часа с момента прибытия вагона.</w:t>
      </w:r>
    </w:p>
    <w:p w:rsidR="00A940E6" w:rsidRPr="00B75412" w:rsidRDefault="00A940E6" w:rsidP="00A940E6">
      <w:pPr>
        <w:spacing w:after="0" w:line="240" w:lineRule="exact"/>
        <w:ind w:firstLine="709"/>
        <w:rPr>
          <w:rFonts w:ascii="Times New Roman" w:hAnsi="Times New Roman"/>
          <w:b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22</w:t>
      </w:r>
      <w:r w:rsidRPr="00B75412">
        <w:rPr>
          <w:rFonts w:ascii="Times New Roman" w:hAnsi="Times New Roman"/>
          <w:color w:val="000000"/>
          <w:sz w:val="21"/>
          <w:szCs w:val="21"/>
        </w:rPr>
        <w:t>Сбор не начисляется в случаях включения ставки в тариф на перевозку контейнера.</w:t>
      </w:r>
      <w:r w:rsidRPr="00B75412">
        <w:rPr>
          <w:rFonts w:ascii="Times New Roman" w:hAnsi="Times New Roman"/>
          <w:b/>
          <w:color w:val="000000"/>
          <w:sz w:val="21"/>
          <w:szCs w:val="21"/>
        </w:rPr>
        <w:t xml:space="preserve"> </w:t>
      </w:r>
    </w:p>
    <w:p w:rsidR="00A940E6" w:rsidRPr="00B75412" w:rsidRDefault="00A940E6" w:rsidP="00A940E6">
      <w:pPr>
        <w:spacing w:after="0" w:line="240" w:lineRule="exact"/>
        <w:ind w:firstLine="709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23</w:t>
      </w:r>
      <w:r w:rsidRPr="00B75412">
        <w:rPr>
          <w:rFonts w:ascii="Times New Roman" w:hAnsi="Times New Roman"/>
          <w:color w:val="000000"/>
          <w:sz w:val="21"/>
          <w:szCs w:val="21"/>
        </w:rPr>
        <w:t>Начисляется дополнительно к сборам, указанным в подпунктах 1, 22, 23.</w:t>
      </w:r>
    </w:p>
    <w:p w:rsidR="00A940E6" w:rsidRPr="00B75412" w:rsidRDefault="00A940E6" w:rsidP="00A940E6">
      <w:pPr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24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Сбор начисляется за вагон и контейнер при одновременном подборе и </w:t>
      </w:r>
      <w:r w:rsidR="002873BA" w:rsidRPr="00B75412">
        <w:rPr>
          <w:rFonts w:ascii="Times New Roman" w:hAnsi="Times New Roman"/>
          <w:color w:val="000000"/>
          <w:sz w:val="21"/>
          <w:szCs w:val="21"/>
        </w:rPr>
        <w:t>вагона</w:t>
      </w:r>
      <w:r w:rsidRPr="00B75412">
        <w:rPr>
          <w:rFonts w:ascii="Times New Roman" w:hAnsi="Times New Roman"/>
          <w:color w:val="000000"/>
          <w:sz w:val="21"/>
          <w:szCs w:val="21"/>
        </w:rPr>
        <w:t xml:space="preserve"> и контейнера.</w:t>
      </w:r>
    </w:p>
    <w:p w:rsidR="00A940E6" w:rsidRPr="00B75412" w:rsidRDefault="00A940E6" w:rsidP="00A940E6">
      <w:pPr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75412">
        <w:rPr>
          <w:rFonts w:ascii="Times New Roman" w:hAnsi="Times New Roman"/>
          <w:b/>
          <w:color w:val="000000"/>
          <w:sz w:val="21"/>
          <w:szCs w:val="21"/>
          <w:vertAlign w:val="superscript"/>
        </w:rPr>
        <w:t>25</w:t>
      </w:r>
      <w:r w:rsidRPr="00B75412">
        <w:rPr>
          <w:rFonts w:ascii="Times New Roman" w:hAnsi="Times New Roman"/>
          <w:color w:val="000000"/>
          <w:sz w:val="21"/>
          <w:szCs w:val="21"/>
        </w:rPr>
        <w:t>Сбор начисляется за маневровую работу локомотива перевозчика, связанную с отцепкой и прицепкой вагона в случае задержки вагона или контейнера на транзитной железной дороге по причине, не зависящей от перевозчика.</w:t>
      </w:r>
    </w:p>
    <w:p w:rsidR="00A940E6" w:rsidRPr="00B75412" w:rsidRDefault="00A940E6" w:rsidP="00A940E6">
      <w:pPr>
        <w:spacing w:after="0" w:line="240" w:lineRule="exact"/>
        <w:jc w:val="both"/>
        <w:rPr>
          <w:rFonts w:ascii="Times New Roman" w:eastAsia="Arial Unicode MS" w:hAnsi="Times New Roman"/>
          <w:color w:val="000000"/>
          <w:sz w:val="21"/>
          <w:szCs w:val="21"/>
        </w:rPr>
      </w:pPr>
      <w:r w:rsidRPr="00B75412">
        <w:rPr>
          <w:rFonts w:eastAsia="Arial Unicode MS"/>
          <w:color w:val="000000"/>
          <w:sz w:val="28"/>
          <w:szCs w:val="28"/>
          <w:vertAlign w:val="superscript"/>
        </w:rPr>
        <w:tab/>
      </w:r>
    </w:p>
    <w:p w:rsidR="00A940E6" w:rsidRDefault="00A940E6" w:rsidP="002873B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412">
        <w:rPr>
          <w:rFonts w:ascii="Times New Roman" w:eastAsia="Arial Unicode MS" w:hAnsi="Times New Roman"/>
          <w:color w:val="000000"/>
          <w:sz w:val="21"/>
          <w:szCs w:val="21"/>
          <w:vertAlign w:val="superscript"/>
        </w:rPr>
        <w:tab/>
      </w:r>
    </w:p>
    <w:p w:rsidR="00097963" w:rsidRDefault="00097963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Default="00480FDA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67F" w:rsidRDefault="00BF467F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67F" w:rsidRDefault="00BF467F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5635" w:rsidRDefault="00125635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FDA" w:rsidRPr="00C45CC2" w:rsidRDefault="00480FDA" w:rsidP="00480FDA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 w:rsidRPr="00C45CC2">
        <w:rPr>
          <w:rFonts w:ascii="Times New Roman" w:hAnsi="Times New Roman" w:cs="Times New Roman"/>
          <w:sz w:val="30"/>
          <w:szCs w:val="30"/>
        </w:rPr>
        <w:t xml:space="preserve">Приложение </w:t>
      </w:r>
      <w:r w:rsidR="007D7E31" w:rsidRPr="00C45CC2">
        <w:rPr>
          <w:rFonts w:ascii="Times New Roman" w:hAnsi="Times New Roman" w:cs="Times New Roman"/>
          <w:sz w:val="30"/>
          <w:szCs w:val="30"/>
        </w:rPr>
        <w:t>2</w:t>
      </w:r>
      <w:r w:rsidRPr="00C45CC2">
        <w:rPr>
          <w:rFonts w:ascii="Times New Roman" w:hAnsi="Times New Roman" w:cs="Times New Roman"/>
          <w:sz w:val="30"/>
          <w:szCs w:val="30"/>
        </w:rPr>
        <w:t xml:space="preserve"> к письму</w:t>
      </w:r>
    </w:p>
    <w:p w:rsidR="00480FDA" w:rsidRPr="00C45CC2" w:rsidRDefault="00480FDA" w:rsidP="00480FDA">
      <w:pPr>
        <w:spacing w:after="0" w:line="240" w:lineRule="auto"/>
        <w:ind w:left="5670"/>
        <w:jc w:val="both"/>
        <w:rPr>
          <w:rFonts w:ascii="Times New Roman" w:hAnsi="Times New Roman" w:cs="Times New Roman"/>
          <w:sz w:val="30"/>
          <w:szCs w:val="30"/>
        </w:rPr>
      </w:pPr>
      <w:r w:rsidRPr="00C45CC2">
        <w:rPr>
          <w:rFonts w:ascii="Times New Roman" w:hAnsi="Times New Roman" w:cs="Times New Roman"/>
          <w:sz w:val="30"/>
          <w:szCs w:val="30"/>
        </w:rPr>
        <w:t xml:space="preserve">от </w:t>
      </w:r>
      <w:r w:rsidR="002D43BC">
        <w:rPr>
          <w:rFonts w:ascii="Times New Roman" w:hAnsi="Times New Roman" w:cs="Times New Roman"/>
          <w:sz w:val="30"/>
          <w:szCs w:val="30"/>
        </w:rPr>
        <w:t xml:space="preserve">       </w:t>
      </w:r>
      <w:r w:rsidRPr="00C45CC2">
        <w:rPr>
          <w:rFonts w:ascii="Times New Roman" w:hAnsi="Times New Roman" w:cs="Times New Roman"/>
          <w:sz w:val="30"/>
          <w:szCs w:val="30"/>
        </w:rPr>
        <w:t>№</w:t>
      </w:r>
    </w:p>
    <w:p w:rsidR="00480FDA" w:rsidRPr="00C45CC2" w:rsidRDefault="00480FDA" w:rsidP="00480FDA">
      <w:pPr>
        <w:spacing w:after="0" w:line="240" w:lineRule="auto"/>
        <w:ind w:left="5670"/>
        <w:jc w:val="both"/>
        <w:rPr>
          <w:rFonts w:ascii="Times New Roman" w:hAnsi="Times New Roman" w:cs="Times New Roman"/>
          <w:sz w:val="30"/>
          <w:szCs w:val="30"/>
        </w:rPr>
      </w:pPr>
    </w:p>
    <w:p w:rsidR="00480FDA" w:rsidRPr="00C45CC2" w:rsidRDefault="00480FDA" w:rsidP="00480FDA">
      <w:pPr>
        <w:spacing w:after="0" w:line="240" w:lineRule="auto"/>
        <w:ind w:left="5670"/>
        <w:jc w:val="both"/>
        <w:rPr>
          <w:rFonts w:ascii="Times New Roman" w:hAnsi="Times New Roman" w:cs="Times New Roman"/>
          <w:sz w:val="30"/>
          <w:szCs w:val="30"/>
        </w:rPr>
      </w:pPr>
    </w:p>
    <w:p w:rsidR="00E53834" w:rsidRPr="00C45CC2" w:rsidRDefault="00E8784D" w:rsidP="00E53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E53834" w:rsidRPr="00C45CC2">
        <w:rPr>
          <w:rFonts w:ascii="Times New Roman" w:hAnsi="Times New Roman" w:cs="Times New Roman"/>
          <w:sz w:val="30"/>
          <w:szCs w:val="30"/>
        </w:rPr>
        <w:t xml:space="preserve"> подпункте 1 для груза «Нефтепродукты, масла 2722-2749, 27090010, </w:t>
      </w:r>
      <w:r w:rsidR="007153D6" w:rsidRPr="00C45CC2">
        <w:rPr>
          <w:rFonts w:ascii="Times New Roman" w:hAnsi="Times New Roman" w:cs="Times New Roman"/>
          <w:sz w:val="30"/>
          <w:szCs w:val="30"/>
        </w:rPr>
        <w:br/>
      </w:r>
      <w:r w:rsidR="00E53834" w:rsidRPr="00C45CC2">
        <w:rPr>
          <w:rFonts w:ascii="Times New Roman" w:hAnsi="Times New Roman" w:cs="Times New Roman"/>
          <w:sz w:val="30"/>
          <w:szCs w:val="30"/>
        </w:rPr>
        <w:t>углеводороды циклические 2902, спирты 2905 (кроме 290511), эфиры 2909, смолы каменноугольные 2706, масла и другие продукты высокотемпературной перегонки каменноугольной смолы 2707 (в вагоне – цистерне и вагоне бункерного типа)» для маршрута «Беняконе (эксп.) – Горынь</w:t>
      </w:r>
      <w:r w:rsidR="007153D6" w:rsidRPr="00C45CC2">
        <w:rPr>
          <w:rFonts w:ascii="Times New Roman" w:hAnsi="Times New Roman" w:cs="Times New Roman"/>
          <w:sz w:val="30"/>
          <w:szCs w:val="30"/>
        </w:rPr>
        <w:t> </w:t>
      </w:r>
      <w:r w:rsidR="00E53834" w:rsidRPr="00C45CC2">
        <w:rPr>
          <w:rFonts w:ascii="Times New Roman" w:hAnsi="Times New Roman" w:cs="Times New Roman"/>
          <w:sz w:val="30"/>
          <w:szCs w:val="30"/>
        </w:rPr>
        <w:t xml:space="preserve">(эксп.)» в столбце 4 текст излагается в новой </w:t>
      </w:r>
      <w:r w:rsidR="00480FDA" w:rsidRPr="00C45CC2">
        <w:rPr>
          <w:rFonts w:ascii="Times New Roman" w:hAnsi="Times New Roman" w:cs="Times New Roman"/>
          <w:sz w:val="30"/>
          <w:szCs w:val="30"/>
        </w:rPr>
        <w:t>редакции «16,5».</w:t>
      </w:r>
    </w:p>
    <w:p w:rsidR="001959F1" w:rsidRPr="00C45CC2" w:rsidRDefault="00E8784D" w:rsidP="00195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959F1" w:rsidRPr="00C45CC2">
        <w:rPr>
          <w:rFonts w:ascii="Times New Roman" w:hAnsi="Times New Roman" w:cs="Times New Roman"/>
          <w:sz w:val="30"/>
          <w:szCs w:val="30"/>
        </w:rPr>
        <w:t xml:space="preserve"> подпункте 9 для груза «</w:t>
      </w:r>
      <w:proofErr w:type="gramStart"/>
      <w:r w:rsidR="001959F1" w:rsidRPr="00C45CC2">
        <w:rPr>
          <w:rFonts w:ascii="Times New Roman" w:hAnsi="Times New Roman" w:cs="Times New Roman"/>
          <w:sz w:val="30"/>
          <w:szCs w:val="30"/>
        </w:rPr>
        <w:t>Газы</w:t>
      </w:r>
      <w:proofErr w:type="gramEnd"/>
      <w:r w:rsidR="001959F1" w:rsidRPr="00C45CC2">
        <w:rPr>
          <w:rFonts w:ascii="Times New Roman" w:hAnsi="Times New Roman" w:cs="Times New Roman"/>
          <w:sz w:val="30"/>
          <w:szCs w:val="30"/>
        </w:rPr>
        <w:t xml:space="preserve"> сжиженные 2711 (в вагоне-цистерне)» для маршрута «Гудогай (эксп.)/ Бигосово (эксп.) – Словечно (эксп.), Беняконе (эксп.) – Горынь (эксп.)» в столбце 4 текст излагается в новой редакции «40,0 – до 15 тыс. т вкл.; 30,0 – свыше 15 тыс. т»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959F1" w:rsidRPr="00C45CC2" w:rsidRDefault="00E8784D" w:rsidP="00195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959F1" w:rsidRPr="00C45CC2">
        <w:rPr>
          <w:rFonts w:ascii="Times New Roman" w:hAnsi="Times New Roman" w:cs="Times New Roman"/>
          <w:sz w:val="30"/>
          <w:szCs w:val="30"/>
        </w:rPr>
        <w:t xml:space="preserve"> подпункте 12 для груза «Чугун 7201, отходы и лом черных металлов 7204» для маршрута «Закопытье (эксп.) – Гудогай (эксп.)» в столбце 4 текст излагается в новой редакции «6,0».</w:t>
      </w:r>
    </w:p>
    <w:p w:rsidR="001959F1" w:rsidRPr="00C45CC2" w:rsidRDefault="001959F1" w:rsidP="00A94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959F1" w:rsidRPr="00C45CC2" w:rsidSect="00BF467F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65"/>
    <w:rsid w:val="00097963"/>
    <w:rsid w:val="000B441B"/>
    <w:rsid w:val="000C7616"/>
    <w:rsid w:val="000E1578"/>
    <w:rsid w:val="000F7ACF"/>
    <w:rsid w:val="00125635"/>
    <w:rsid w:val="001959F1"/>
    <w:rsid w:val="002873BA"/>
    <w:rsid w:val="002C3328"/>
    <w:rsid w:val="002D43BC"/>
    <w:rsid w:val="0047032D"/>
    <w:rsid w:val="00480FDA"/>
    <w:rsid w:val="0050309C"/>
    <w:rsid w:val="006268CF"/>
    <w:rsid w:val="006E0F5C"/>
    <w:rsid w:val="007153D6"/>
    <w:rsid w:val="00742C53"/>
    <w:rsid w:val="0078401B"/>
    <w:rsid w:val="007D7E31"/>
    <w:rsid w:val="00832CC1"/>
    <w:rsid w:val="00841AD4"/>
    <w:rsid w:val="00850BE3"/>
    <w:rsid w:val="00992307"/>
    <w:rsid w:val="009A0186"/>
    <w:rsid w:val="00A250AB"/>
    <w:rsid w:val="00A67FC4"/>
    <w:rsid w:val="00A9350A"/>
    <w:rsid w:val="00A940E6"/>
    <w:rsid w:val="00AA09DB"/>
    <w:rsid w:val="00AE5F38"/>
    <w:rsid w:val="00B82531"/>
    <w:rsid w:val="00BB35DB"/>
    <w:rsid w:val="00BC7A8E"/>
    <w:rsid w:val="00BF467F"/>
    <w:rsid w:val="00C26487"/>
    <w:rsid w:val="00C45CC2"/>
    <w:rsid w:val="00D72B6D"/>
    <w:rsid w:val="00D8320B"/>
    <w:rsid w:val="00DC6CB8"/>
    <w:rsid w:val="00DD0603"/>
    <w:rsid w:val="00E53834"/>
    <w:rsid w:val="00E56252"/>
    <w:rsid w:val="00E764FD"/>
    <w:rsid w:val="00E8784D"/>
    <w:rsid w:val="00EA3432"/>
    <w:rsid w:val="00ED2065"/>
    <w:rsid w:val="00FB59EB"/>
    <w:rsid w:val="00F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940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5C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A9350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940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5C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A935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10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Бурая Ирина Николаевна</dc:creator>
  <cp:keywords/>
  <dc:description/>
  <cp:lastModifiedBy>Сунгат А Ешетов</cp:lastModifiedBy>
  <cp:revision>29</cp:revision>
  <cp:lastPrinted>2020-12-29T13:36:00Z</cp:lastPrinted>
  <dcterms:created xsi:type="dcterms:W3CDTF">2020-12-18T12:35:00Z</dcterms:created>
  <dcterms:modified xsi:type="dcterms:W3CDTF">2020-12-30T13:49:00Z</dcterms:modified>
</cp:coreProperties>
</file>